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240"/>
        <w:rPr>
          <w:rFonts w:ascii="Arial" w:hAnsi="Arial" w:cs="Arial"/>
          <w:sz w:val="27"/>
          <w:szCs w:val="27"/>
          <w:lang w:val="en-US" w:eastAsia="fr-FR"/>
        </w:rPr>
      </w:pPr>
      <w:r>
        <w:rPr>
          <w:rFonts w:cs="Arial" w:ascii="Arial" w:hAnsi="Arial"/>
          <w:sz w:val="27"/>
          <w:szCs w:val="27"/>
          <w:lang w:val="en-US" w:eastAsia="fr-FR"/>
        </w:rPr>
        <w:t>Conseil des droits de l’homme</w:t>
      </w:r>
    </w:p>
    <w:p>
      <w:pPr>
        <w:pStyle w:val="HChG"/>
        <w:spacing w:before="0" w:after="0"/>
        <w:rPr>
          <w:sz w:val="20"/>
          <w:lang w:val="fr-FR"/>
        </w:rPr>
      </w:pPr>
      <w:r>
        <w:rPr>
          <w:sz w:val="20"/>
          <w:lang w:val="fr-FR"/>
        </w:rPr>
        <w:t>Promotion et protection de tous les droits de l’homme,</w:t>
      </w:r>
    </w:p>
    <w:p>
      <w:pPr>
        <w:pStyle w:val="HChG"/>
        <w:spacing w:before="0" w:after="0"/>
        <w:rPr>
          <w:sz w:val="20"/>
          <w:lang w:val="fr-FR"/>
        </w:rPr>
      </w:pPr>
      <w:r>
        <w:rPr>
          <w:sz w:val="20"/>
          <w:lang w:val="fr-FR"/>
        </w:rPr>
        <w:t>civils, politiques, économiques, sociaux et culturels,</w:t>
      </w:r>
    </w:p>
    <w:p>
      <w:pPr>
        <w:pStyle w:val="HChG"/>
        <w:spacing w:before="0" w:after="0"/>
        <w:rPr>
          <w:lang w:val="fr-FR"/>
        </w:rPr>
      </w:pPr>
      <w:r>
        <w:rPr>
          <w:sz w:val="20"/>
          <w:lang w:val="fr-FR"/>
        </w:rPr>
        <w:t>y compris le droit au développement</w:t>
      </w:r>
    </w:p>
    <w:p>
      <w:pPr>
        <w:pStyle w:val="Normal"/>
        <w:keepNext w:val="true"/>
        <w:keepLines/>
        <w:spacing w:lineRule="exact" w:line="270" w:before="360" w:after="240"/>
        <w:ind w:left="1134" w:right="1134" w:hanging="850"/>
        <w:rPr>
          <w:b/>
          <w:b/>
          <w:bCs/>
          <w:sz w:val="24"/>
          <w:lang w:val="fr-FR"/>
        </w:rPr>
      </w:pPr>
      <w:r>
        <w:rPr>
          <w:b/>
          <w:sz w:val="24"/>
          <w:lang w:val="fr-FR"/>
        </w:rPr>
        <w:tab/>
      </w:r>
      <w:r>
        <w:rPr>
          <w:b/>
          <w:bCs/>
          <w:sz w:val="24"/>
          <w:lang w:val="fr-FR"/>
        </w:rPr>
        <w:t>Droits de l’homme et peuples autochtones</w:t>
      </w:r>
    </w:p>
    <w:p>
      <w:pPr>
        <w:pStyle w:val="Normal"/>
        <w:keepNext w:val="true"/>
        <w:keepLines/>
        <w:spacing w:lineRule="exact" w:line="270" w:before="360" w:after="240"/>
        <w:ind w:left="1134" w:right="1134" w:hanging="850"/>
        <w:rPr>
          <w:sz w:val="24"/>
          <w:lang w:val="fr-FR"/>
        </w:rPr>
      </w:pPr>
      <w:r>
        <w:rPr>
          <w:i/>
          <w:iCs/>
          <w:sz w:val="24"/>
          <w:lang w:val="fr-FR"/>
        </w:rPr>
        <w:t>Le Conseil des droits de l’homme</w:t>
      </w:r>
      <w:r>
        <w:rPr>
          <w:sz w:val="24"/>
          <w:lang w:val="fr-FR"/>
        </w:rPr>
        <w:t>,</w:t>
      </w:r>
    </w:p>
    <w:p>
      <w:pPr>
        <w:pStyle w:val="SingleTxtG"/>
        <w:ind w:left="1134" w:right="1134" w:firstLine="567"/>
        <w:rPr/>
      </w:pPr>
      <w:r>
        <w:rPr/>
        <w:t>PP1 Rappelant toutes les résolutions pertinentes de l’Assemblée générale, de la Commission des droits de l’homme et du Conseil des droits de l’homme relatives aux droits de l’homme et aux peuples autochtones,</w:t>
      </w:r>
    </w:p>
    <w:p>
      <w:pPr>
        <w:pStyle w:val="SingleTxtG"/>
        <w:ind w:left="1134" w:right="1134" w:firstLine="567"/>
        <w:rPr/>
      </w:pPr>
      <w:r>
        <w:rPr/>
        <w:t>PP2 Réaffirmant son soutien à la réalisation des objectifs de la Déclaration des Nations Unies sur les droits des peuples autochtones, adoptée par l’Assemblée générale dans sa résolution 61/295, en date du 13 septembre 2007,</w:t>
      </w:r>
    </w:p>
    <w:p>
      <w:pPr>
        <w:pStyle w:val="SingleTxtG"/>
        <w:ind w:left="1134" w:right="1134" w:firstLine="567"/>
        <w:rPr/>
      </w:pPr>
      <w:r>
        <w:rPr/>
        <w:t>PP3 Conscient que, depuis son adoption, la Déclaration a eu une influence positive sur la rédaction de plusieurs constitutions et lois au niveau national et au niveau local et a contribué au développement progressif de politiques et de cadres juridiques internationaux et nationaux concernant les peuples autochtones,</w:t>
      </w:r>
    </w:p>
    <w:p>
      <w:pPr>
        <w:pStyle w:val="SingleTxtG"/>
        <w:ind w:left="1134" w:right="1134" w:firstLine="567"/>
        <w:rPr>
          <w:lang w:val="fr-FR"/>
        </w:rPr>
      </w:pPr>
      <w:r>
        <w:rPr>
          <w:lang w:val="fr-FR"/>
        </w:rPr>
        <w:t>PP4 Se félicitant des efforts faits actuellement pour promouvoir, protéger et réaliser les droits des peuples autochtones, rappelant l’engagement pris à la réunion plénière de haut niveau de l’Assemblée générale connue sous l’intitulé de Conférence mondiale sur les peuples autochtones d’examiner les moyens de renforcer la participation des représentants et des institutions des peuples autochtones aux réunions des organes compétents de l’Organisation des Nations Unies portant sur des questions qui les concernent, et saluant la résolution 71/321 de l’Assemblée en date du 8 septembre 2017,</w:t>
      </w:r>
    </w:p>
    <w:p>
      <w:pPr>
        <w:pStyle w:val="SingleTxtG"/>
        <w:ind w:left="1134" w:right="1134" w:firstLine="567"/>
        <w:rPr/>
      </w:pPr>
      <w:r>
        <w:rPr/>
        <w:t xml:space="preserve">PP5 Saluant la participation de représentants et d’institutions des peuples autochtones aux réunions de divers organes et organes subsidiaires des Nations Unies, en particulier à ses propres réunions et à celles du Mécanisme d’experts sur les droits des peuples autochtones, </w:t>
      </w:r>
    </w:p>
    <w:p>
      <w:pPr>
        <w:pStyle w:val="SingleTxtG"/>
        <w:ind w:left="1134" w:right="1134" w:firstLine="567"/>
        <w:rPr/>
      </w:pPr>
      <w:r>
        <w:rPr/>
        <w:t>PP6 Prenant note du document final de la Réunion de dialogue sur la participation renforcée des peuples autochtones à l’ONU, organisée par des organisations et institutions autochtones, et tenue à Quito du 27 au 30 janvier 2020,</w:t>
      </w:r>
    </w:p>
    <w:p>
      <w:pPr>
        <w:pStyle w:val="SingleTxtG"/>
        <w:ind w:left="1134" w:right="1134" w:firstLine="567"/>
        <w:rPr>
          <w:lang w:val="fr-FR"/>
        </w:rPr>
      </w:pPr>
      <w:r>
        <w:rPr>
          <w:lang w:val="fr-FR"/>
        </w:rPr>
        <w:t xml:space="preserve">PP7 </w:t>
      </w:r>
      <w:r>
        <w:rPr>
          <w:i/>
          <w:iCs/>
          <w:lang w:val="fr-FR"/>
        </w:rPr>
        <w:t xml:space="preserve">Conscient </w:t>
      </w:r>
      <w:r>
        <w:rPr>
          <w:lang w:val="fr-FR"/>
        </w:rPr>
        <w:t>de l’importance du Fonds de contributions volontaires des Nations Unies pour les peuples autochtones, qui aide les représentants et les institutions des peuples autochtones à participer aux réunions les concernant,</w:t>
      </w:r>
    </w:p>
    <w:p>
      <w:pPr>
        <w:pStyle w:val="SingleTxtG"/>
        <w:ind w:left="1134" w:right="1134" w:firstLine="567"/>
        <w:rPr>
          <w:iCs/>
          <w:lang w:val="fr-FR"/>
        </w:rPr>
      </w:pPr>
      <w:r>
        <w:rPr>
          <w:i/>
          <w:lang w:val="fr-FR"/>
        </w:rPr>
        <w:t>Pp8</w:t>
      </w:r>
      <w:r>
        <w:rPr>
          <w:lang w:val="fr-FR"/>
        </w:rPr>
        <w:t xml:space="preserve"> </w:t>
      </w:r>
      <w:r>
        <w:rPr>
          <w:i/>
          <w:highlight w:val="yellow"/>
          <w:lang w:val="fr-FR"/>
        </w:rPr>
        <w:t>Se félicitant</w:t>
      </w:r>
      <w:r>
        <w:rPr>
          <w:i/>
          <w:lang w:val="fr-FR"/>
        </w:rPr>
        <w:t xml:space="preserve"> </w:t>
      </w:r>
      <w:r>
        <w:rPr>
          <w:iCs/>
          <w:lang w:val="fr-FR"/>
        </w:rPr>
        <w:t xml:space="preserve">du rapport du Mécanisme d'experts sur </w:t>
      </w:r>
      <w:r>
        <w:rPr>
          <w:iCs/>
          <w:highlight w:val="yellow"/>
          <w:lang w:val="fr-FR"/>
        </w:rPr>
        <w:t>les efforts visant à mettre en œuvre la Déclaration des Nations Unies sur les droits des peuples autochtones : les peuples autochtones et le droit à l'autodétermination</w:t>
      </w:r>
      <w:r>
        <w:rPr>
          <w:iCs/>
          <w:lang w:val="fr-FR"/>
        </w:rPr>
        <w:t>, et encourageant toutes les parties à examiner les recommandations formulées dans le rapport,</w:t>
      </w:r>
    </w:p>
    <w:p>
      <w:pPr>
        <w:pStyle w:val="SingleTxtG"/>
        <w:ind w:left="1134" w:right="1134" w:firstLine="567"/>
        <w:rPr>
          <w:iCs/>
          <w:lang w:val="fr-FR"/>
        </w:rPr>
      </w:pPr>
      <w:r>
        <w:rPr>
          <w:i/>
          <w:lang w:val="fr-FR"/>
        </w:rPr>
        <w:t xml:space="preserve">PP9 </w:t>
      </w:r>
      <w:r>
        <w:rPr>
          <w:i/>
          <w:highlight w:val="yellow"/>
          <w:lang w:val="fr-FR"/>
        </w:rPr>
        <w:t>Se félicitant</w:t>
      </w:r>
      <w:r>
        <w:rPr>
          <w:i/>
          <w:lang w:val="fr-FR"/>
        </w:rPr>
        <w:t xml:space="preserve"> </w:t>
      </w:r>
      <w:r>
        <w:rPr>
          <w:iCs/>
          <w:lang w:val="fr-FR"/>
        </w:rPr>
        <w:t xml:space="preserve">également de l'étude du Mécanisme d'experts </w:t>
      </w:r>
      <w:r>
        <w:rPr>
          <w:iCs/>
          <w:highlight w:val="yellow"/>
          <w:lang w:val="fr-FR"/>
        </w:rPr>
        <w:t>sur les droits de l'enfant autochtone dans le cadre de la Déclaration des Nations Unies sur les droits des peuples autochtone</w:t>
      </w:r>
      <w:r>
        <w:rPr>
          <w:iCs/>
          <w:lang w:val="fr-FR"/>
        </w:rPr>
        <w:t>s, et encourageant les États à mettre en œuvre les conseils qui y sont contenus,</w:t>
      </w:r>
    </w:p>
    <w:p>
      <w:pPr>
        <w:pStyle w:val="SingleTxtG"/>
        <w:ind w:left="1134" w:right="1134" w:firstLine="567"/>
        <w:rPr>
          <w:iCs/>
          <w:lang w:val="fr-FR"/>
        </w:rPr>
      </w:pPr>
      <w:r>
        <w:rPr>
          <w:iCs/>
          <w:lang w:val="fr-FR"/>
        </w:rPr>
        <w:t xml:space="preserve">PP10 </w:t>
      </w:r>
      <w:r>
        <w:rPr>
          <w:i/>
          <w:highlight w:val="yellow"/>
          <w:lang w:val="fr-FR"/>
        </w:rPr>
        <w:t>Se félicitant</w:t>
      </w:r>
      <w:r>
        <w:rPr>
          <w:iCs/>
          <w:lang w:val="fr-FR"/>
        </w:rPr>
        <w:t xml:space="preserve"> du rapport du Rapporteur spécial </w:t>
      </w:r>
      <w:r>
        <w:rPr>
          <w:iCs/>
          <w:highlight w:val="yellow"/>
          <w:lang w:val="fr-FR"/>
        </w:rPr>
        <w:t>sur le rétablissement des peuples autochtones et de la maladie à coronavirus (COVID-19)</w:t>
      </w:r>
      <w:r>
        <w:rPr>
          <w:rStyle w:val="FootnoteAnchor"/>
          <w:iCs/>
          <w:highlight w:val="yellow"/>
          <w:lang w:val="fr-FR"/>
        </w:rPr>
        <w:footnoteReference w:id="2"/>
      </w:r>
      <w:r>
        <w:rPr>
          <w:iCs/>
          <w:lang w:val="fr-FR"/>
        </w:rPr>
        <w:t>, et appelant tous les États à examiner les recommandations contenues dans le rapport,</w:t>
      </w:r>
    </w:p>
    <w:p>
      <w:pPr>
        <w:sectPr>
          <w:headerReference w:type="default" r:id="rId2"/>
          <w:footnotePr>
            <w:numFmt w:val="decimal"/>
          </w:footnotePr>
          <w:type w:val="nextPage"/>
          <w:pgSz w:w="11906" w:h="16838"/>
          <w:pgMar w:left="1134" w:right="1134" w:header="675" w:top="2147" w:footer="0" w:bottom="567" w:gutter="0"/>
          <w:pgNumType w:fmt="decimal"/>
          <w:formProt w:val="false"/>
          <w:textDirection w:val="lrTb"/>
          <w:docGrid w:type="default" w:linePitch="272" w:charSpace="8192"/>
        </w:sectPr>
        <w:pStyle w:val="SingleTxtG"/>
        <w:ind w:left="1134" w:right="1134" w:firstLine="567"/>
        <w:rPr>
          <w:i/>
          <w:i/>
          <w:lang w:val="fr-FR"/>
        </w:rPr>
      </w:pPr>
      <w:r>
        <w:rPr>
          <w:i/>
          <w:lang w:val="fr-FR"/>
        </w:rPr>
        <w:t xml:space="preserve">PP11 </w:t>
      </w:r>
      <w:r>
        <w:rPr>
          <w:iCs/>
          <w:lang w:val="fr-FR"/>
        </w:rPr>
        <w:t xml:space="preserve">Soulignant qu’il importe d’accorder une attention particulière aux droits et aux besoins spéciaux des femmes, des enfants, des jeunes, des personnes âgées et des personnes handicapées autochtones, et de redoubler d’efforts pour prévenir et éliminer la violence et </w:t>
      </w:r>
    </w:p>
    <w:p>
      <w:pPr>
        <w:pStyle w:val="SingleTxtG"/>
        <w:ind w:left="1134" w:right="1134" w:firstLine="567"/>
        <w:rPr>
          <w:i/>
          <w:i/>
          <w:lang w:val="fr-FR"/>
        </w:rPr>
      </w:pPr>
      <w:r>
        <w:rPr>
          <w:iCs/>
          <w:lang w:val="fr-FR"/>
        </w:rPr>
        <w:t>les formes multiples et croisées de discrimination, comme cela est énoncé dans la Déclaration des Nations Unies sur les droits des peuples autochtones et le Document final de la Conférence mondiale sur les peuples autochtones, que l’Assemblée a adopté par consensus en 20144,</w:t>
      </w:r>
    </w:p>
    <w:p>
      <w:pPr>
        <w:pStyle w:val="SingleTxtG"/>
        <w:ind w:left="1134" w:right="1134" w:firstLine="567"/>
        <w:rPr>
          <w:i/>
          <w:i/>
          <w:lang w:val="fr-FR"/>
        </w:rPr>
      </w:pPr>
      <w:r>
        <w:rPr>
          <w:i/>
          <w:lang w:val="fr-FR"/>
        </w:rPr>
        <w:t>PP12 Conscient</w:t>
      </w:r>
      <w:r>
        <w:rPr>
          <w:iCs/>
          <w:lang w:val="fr-FR"/>
        </w:rPr>
        <w:t xml:space="preserve"> que les peuples autochtones sont parmi les premiers à subir les conséquences directes des changements climatiques en raison des relations étroites qu’ils entretiennent avec l’environnement et les ressources naturelles et de leur dépendance à leur égard, et saluant le rôle joué par les peuples autochtones dans la réalisation des objectifs de la Convention-cadre des Nations Unies sur les changements climatiques, de l’Accord de Paris et des cibles et objectifs du Programme de développement durable à l’horizon 2030,</w:t>
      </w:r>
    </w:p>
    <w:p>
      <w:pPr>
        <w:pStyle w:val="SingleTxtG"/>
        <w:ind w:left="1134" w:right="1134" w:firstLine="567"/>
        <w:rPr>
          <w:i/>
          <w:i/>
          <w:lang w:val="fr-FR"/>
        </w:rPr>
      </w:pPr>
      <w:r>
        <w:rPr>
          <w:i/>
          <w:lang w:val="fr-FR"/>
        </w:rPr>
        <w:t xml:space="preserve">PP13 Conscient </w:t>
      </w:r>
      <w:r>
        <w:rPr>
          <w:iCs/>
          <w:lang w:val="fr-FR"/>
        </w:rPr>
        <w:t>aussi des incidences croissantes des changements climatiques sur les droits de l’homme et de leurs incidences particulières sur les droits et les modes de vie des peuples autochtones dans le monde entier, et rappelant le préambule de l’Accord de Paris et le préambule de la décision 1/CP.21 relative à l’adoption de l’Accord de Paris5, dans lesquels il est affirmé que les États devraient, lorsqu’ils prennent des mesures face aux changements climatiques, respecter, promouvoir et prendre en considération leurs obligations respectives concernant les droits des peuples autochtones, ainsi que le paragraphe 135 de la décision 1/CP.21, où est reconnue la nécessité de renforcer le rôle des systèmes de connaissances des peuples autochtones relatifs à l’atténuation des changements climatiques et à l’adaptation à ces changements, et le paragraphe 36 du document final de la Conférence mondiale,</w:t>
      </w:r>
    </w:p>
    <w:p>
      <w:pPr>
        <w:pStyle w:val="SingleTxtG"/>
        <w:ind w:left="1134" w:right="1134" w:firstLine="567"/>
        <w:rPr>
          <w:i/>
          <w:i/>
          <w:lang w:val="fr-FR"/>
        </w:rPr>
      </w:pPr>
      <w:r>
        <w:rPr>
          <w:i/>
          <w:lang w:val="fr-FR"/>
        </w:rPr>
        <w:t xml:space="preserve">PP14 </w:t>
      </w:r>
      <w:r>
        <w:rPr>
          <w:i/>
          <w:highlight w:val="yellow"/>
          <w:lang w:val="fr-FR"/>
        </w:rPr>
        <w:t xml:space="preserve">Reconnaissant </w:t>
      </w:r>
      <w:r>
        <w:rPr>
          <w:iCs/>
          <w:lang w:val="fr-FR"/>
        </w:rPr>
        <w:t xml:space="preserve">avec satisfaction la création </w:t>
      </w:r>
      <w:r>
        <w:rPr>
          <w:lang w:val="fr-FR"/>
        </w:rPr>
        <w:t>par la Conférence des Parties à la Convention-cadre des Nations Unies sur les changements climatiques, à sa vingt-quatrième session, du groupe de facilitation de la plateforme des communautés locales et des peuples autochtones, où les représentants des peuples autochtones et les Parties à la Convention-cadre disposent d’une participation égale, en vue de promouvoir les objectifs et l’exécution des fonctions de la plateforme,</w:t>
      </w:r>
    </w:p>
    <w:p>
      <w:pPr>
        <w:pStyle w:val="SingleTxtG"/>
        <w:ind w:left="1134" w:right="1134" w:firstLine="567"/>
        <w:rPr>
          <w:lang w:val="fr-FR"/>
        </w:rPr>
      </w:pPr>
      <w:r>
        <w:rPr>
          <w:i/>
          <w:lang w:val="fr-FR"/>
        </w:rPr>
        <w:t xml:space="preserve">PP15 </w:t>
      </w:r>
      <w:r>
        <w:rPr>
          <w:i/>
          <w:iCs/>
          <w:lang w:val="fr-FR"/>
        </w:rPr>
        <w:t xml:space="preserve">Sachant </w:t>
      </w:r>
      <w:r>
        <w:rPr>
          <w:lang w:val="fr-FR"/>
        </w:rPr>
        <w:t>qu’il importe de donner des moyens d’action aux jeunes et aux femmes autochtones et de renforcer leurs capacités, notamment leur aptitude à participer pleinement et activement à la prise des décisions qui les concernent directement, y compris, le cas échéant, au sujet des politiques, programmes et ressources visant à améliorer leur bien-être et celui des enfants autochtones, en particulier dans les domaines de l’accès universel et équitable à des services de santé de qualité, à la santé mentale, à une nutrition adéquate, reposant notamment sur l’agriculture familiale, à l’éducation, à l’emploi et à la transmission des langues, des pratiques et des savoirs traditionnels, et conscient qu’il faut prendre des mesures favorisant la connaissance et la compréhension de leurs droits,</w:t>
      </w:r>
    </w:p>
    <w:p>
      <w:pPr>
        <w:pStyle w:val="SingleTxtG"/>
        <w:ind w:left="1134" w:right="1134" w:firstLine="567"/>
        <w:rPr>
          <w:i/>
          <w:i/>
          <w:lang w:val="fr-FR"/>
        </w:rPr>
      </w:pPr>
      <w:r>
        <w:rPr>
          <w:i/>
          <w:highlight w:val="yellow"/>
          <w:lang w:val="fr-FR"/>
        </w:rPr>
        <w:t xml:space="preserve">PP16 Appréciant </w:t>
      </w:r>
      <w:r>
        <w:rPr>
          <w:iCs/>
          <w:highlight w:val="yellow"/>
          <w:lang w:val="fr-FR"/>
        </w:rPr>
        <w:t>les efforts actuellement déployés pour inclure la participation pleine et effective des peuples autochtones dans le processus d'adoption du Cadre pour la biodiversité post-2020 de la Convention sur la diversité biologique, en particulier pour inclure les connaissances traditionnelles</w:t>
      </w:r>
      <w:r>
        <w:rPr>
          <w:i/>
          <w:highlight w:val="yellow"/>
          <w:lang w:val="fr-FR"/>
        </w:rPr>
        <w:t>.</w:t>
      </w:r>
    </w:p>
    <w:p>
      <w:pPr>
        <w:pStyle w:val="SingleTxtG"/>
        <w:ind w:left="1134" w:right="1134" w:firstLine="567"/>
        <w:rPr>
          <w:i/>
          <w:i/>
          <w:lang w:val="fr-FR"/>
        </w:rPr>
      </w:pPr>
      <w:r>
        <w:rPr>
          <w:i/>
          <w:lang w:val="fr-FR"/>
        </w:rPr>
        <w:t>PP</w:t>
      </w:r>
      <w:r>
        <w:rPr>
          <w:i/>
          <w:highlight w:val="yellow"/>
          <w:lang w:val="fr-FR"/>
        </w:rPr>
        <w:t>17</w:t>
      </w:r>
      <w:r>
        <w:rPr>
          <w:i/>
          <w:lang w:val="fr-FR"/>
        </w:rPr>
        <w:t xml:space="preserve"> </w:t>
      </w:r>
      <w:r>
        <w:rPr>
          <w:i/>
          <w:iCs/>
          <w:lang w:val="fr-FR"/>
        </w:rPr>
        <w:t xml:space="preserve">Notant </w:t>
      </w:r>
      <w:r>
        <w:rPr>
          <w:lang w:val="fr-FR"/>
        </w:rPr>
        <w:t xml:space="preserve">que la pandémie de maladie à coronavirus (COVID-19) a des répercussions graves sur la santé, l’éducation, la sécurité alimentaire, la sécurité, le bien-être et les moyens d’existence des personnes partout dans le monde, que les peuples autochtones, leurs territoires ancestraux, et leurs sites sacrés en subissent tout particulièrement le contrecoup, et que des mesures appropriées doivent être prises sans délai pour remédier à ces effets, y compris pour supprimer les obstacles, notamment d’ordre linguistique, qui existent à la participation </w:t>
      </w:r>
      <w:r>
        <w:rPr>
          <w:highlight w:val="yellow"/>
          <w:lang w:val="fr-FR"/>
        </w:rPr>
        <w:t>pleine et</w:t>
      </w:r>
      <w:r>
        <w:rPr>
          <w:lang w:val="fr-FR"/>
        </w:rPr>
        <w:t xml:space="preserve"> effective des peuples autochtones sur les sujets qui concernent leurs droits,</w:t>
      </w:r>
    </w:p>
    <w:p>
      <w:pPr>
        <w:pStyle w:val="Default"/>
        <w:ind w:left="1134" w:right="1134" w:firstLine="567"/>
        <w:jc w:val="both"/>
        <w:rPr>
          <w:sz w:val="20"/>
          <w:szCs w:val="20"/>
        </w:rPr>
      </w:pPr>
      <w:r>
        <w:rPr>
          <w:color w:val="auto"/>
          <w:sz w:val="20"/>
          <w:szCs w:val="20"/>
          <w:lang w:eastAsia="en-US"/>
        </w:rPr>
        <w:t>1</w:t>
      </w:r>
      <w:r>
        <w:rPr>
          <w:iCs/>
          <w:sz w:val="20"/>
          <w:szCs w:val="20"/>
        </w:rPr>
        <w:t>.</w:t>
        <w:tab/>
      </w:r>
      <w:r>
        <w:rPr>
          <w:i/>
          <w:iCs/>
          <w:sz w:val="20"/>
          <w:szCs w:val="20"/>
        </w:rPr>
        <w:t xml:space="preserve">Prend acte </w:t>
      </w:r>
      <w:r>
        <w:rPr>
          <w:sz w:val="20"/>
          <w:szCs w:val="20"/>
        </w:rPr>
        <w:t>du rapport de la Haute-Commissaire des Nations Unies aux droits de l’homme sur les droits des peuples autochtones</w:t>
      </w:r>
      <w:r>
        <w:rPr>
          <w:sz w:val="12"/>
          <w:szCs w:val="12"/>
        </w:rPr>
        <w:t xml:space="preserve">6 </w:t>
      </w:r>
      <w:r>
        <w:rPr>
          <w:sz w:val="20"/>
          <w:szCs w:val="20"/>
        </w:rPr>
        <w:t xml:space="preserve">et prie la Haute-Commissaire de continuer à lui soumettre un rapport annuel sur les droits des peuples autochtones comportant des informations sur les éléments nouveaux pertinents ayant trait aux organes et mécanismes relatifs aux droits de l’homme, ainsi que sur les activités entreprises par le Haut-Commissariat au siège et sur le terrain qui contribuent à la promotion, au respect et à la pleine application des dispositions de la Déclaration des Nations Unies sur les droits des peuples autochtones, et sur le suivi de l’efficacité de la Déclaration ; </w:t>
      </w:r>
    </w:p>
    <w:p>
      <w:pPr>
        <w:pStyle w:val="SingleTxtG"/>
        <w:ind w:left="1134" w:right="1134" w:firstLine="567"/>
        <w:rPr>
          <w:lang w:val="fr-FR"/>
        </w:rPr>
      </w:pPr>
      <w:r>
        <w:rPr>
          <w:lang w:val="fr-FR"/>
        </w:rPr>
        <w:t>2.</w:t>
        <w:tab/>
      </w:r>
      <w:r>
        <w:rPr>
          <w:i/>
          <w:iCs/>
          <w:lang w:val="fr-FR"/>
        </w:rPr>
        <w:t xml:space="preserve">Prend note avec satisfaction </w:t>
      </w:r>
      <w:r>
        <w:rPr>
          <w:lang w:val="fr-FR"/>
        </w:rPr>
        <w:t xml:space="preserve">des activités menées </w:t>
      </w:r>
      <w:r>
        <w:rPr>
          <w:highlight w:val="yellow"/>
          <w:lang w:val="fr-FR"/>
        </w:rPr>
        <w:t>par le Rapporteur spécial</w:t>
      </w:r>
      <w:r>
        <w:rPr>
          <w:lang w:val="fr-FR"/>
        </w:rPr>
        <w:t xml:space="preserve"> sur les droits des peuples autochtones et engage tous les gouvernements à répondre favorablement aux demandes de visite de la titulaire de ce mandat et à répondre aux communications ; </w:t>
      </w:r>
    </w:p>
    <w:p>
      <w:pPr>
        <w:pStyle w:val="SingleTxtG"/>
        <w:ind w:left="1134" w:right="1134" w:firstLine="567"/>
        <w:rPr>
          <w:lang w:val="fr-FR"/>
        </w:rPr>
      </w:pPr>
      <w:r>
        <w:rPr>
          <w:i/>
          <w:iCs/>
          <w:lang w:val="fr-FR"/>
        </w:rPr>
        <w:t>3.</w:t>
        <w:tab/>
        <w:t xml:space="preserve">Prend également note avec satisfaction </w:t>
      </w:r>
      <w:r>
        <w:rPr>
          <w:lang w:val="fr-FR"/>
        </w:rPr>
        <w:t>des travaux du Mécanisme d’experts sur les droits des peuples autochtones</w:t>
      </w:r>
      <w:r>
        <w:rPr>
          <w:sz w:val="12"/>
          <w:szCs w:val="12"/>
          <w:lang w:val="fr-FR"/>
        </w:rPr>
        <w:t>7</w:t>
      </w:r>
      <w:r>
        <w:rPr>
          <w:lang w:val="fr-FR"/>
        </w:rPr>
        <w:t xml:space="preserve">, </w:t>
      </w:r>
      <w:r>
        <w:rPr>
          <w:highlight w:val="yellow"/>
          <w:lang w:val="fr-FR"/>
        </w:rPr>
        <w:t>y compris sont rapport annuel qui, entre autres, rend compte de l’impact de la COVID-19 sur les peuples autochtones</w:t>
      </w:r>
      <w:r>
        <w:rPr>
          <w:lang w:val="fr-FR"/>
        </w:rPr>
        <w:t>, ses activités intersessions, et prie le Haut-Commissariat de veiller à ce que les rapports pertinents soient traduits dans toutes les langues officielles de l’Organisation des Nations Unies et distribués en temps voulu au Conseil et à ce que les études et rapports du Mécanisme d’experts soient traduits en tant que documents d’avant-session, conformément à la résolution 33/25 du 30 septembre 2016 ;</w:t>
      </w:r>
    </w:p>
    <w:p>
      <w:pPr>
        <w:pStyle w:val="SingleTxtG"/>
        <w:ind w:left="1134" w:right="1134" w:firstLine="567"/>
        <w:rPr>
          <w:lang w:val="fr-FR"/>
        </w:rPr>
      </w:pPr>
      <w:r>
        <w:rPr>
          <w:lang w:val="fr-FR"/>
        </w:rPr>
        <w:t>4.</w:t>
        <w:tab/>
      </w:r>
      <w:r>
        <w:rPr>
          <w:i/>
          <w:iCs/>
          <w:lang w:val="fr-FR"/>
        </w:rPr>
        <w:t xml:space="preserve">Engage vivement </w:t>
      </w:r>
      <w:r>
        <w:rPr>
          <w:lang w:val="fr-FR"/>
        </w:rPr>
        <w:t>les États à participer activement aux sessions du Mécanisme d’experts et à dialoguer avec le Mécanisme, notamment pendant ses activités intersessions ;</w:t>
      </w:r>
    </w:p>
    <w:p>
      <w:pPr>
        <w:pStyle w:val="SingleTxtG"/>
        <w:ind w:left="1134" w:right="1134" w:firstLine="567"/>
        <w:rPr>
          <w:lang w:val="fr-FR"/>
        </w:rPr>
      </w:pPr>
      <w:r>
        <w:rPr>
          <w:lang w:val="fr-FR"/>
        </w:rPr>
        <w:t>5.</w:t>
        <w:tab/>
      </w:r>
      <w:r>
        <w:rPr>
          <w:i/>
          <w:iCs/>
          <w:lang w:val="fr-FR"/>
        </w:rPr>
        <w:t xml:space="preserve">Prie instamment </w:t>
      </w:r>
      <w:r>
        <w:rPr>
          <w:lang w:val="fr-FR"/>
        </w:rPr>
        <w:t xml:space="preserve">les États et les autres donateurs potentiels de contribuer au Fonds de contributions volontaires des Nations Unies pour les peuples autochtones, et </w:t>
      </w:r>
      <w:r>
        <w:rPr>
          <w:highlight w:val="yellow"/>
          <w:lang w:val="fr-FR"/>
        </w:rPr>
        <w:t>se félicite</w:t>
      </w:r>
      <w:r>
        <w:rPr>
          <w:lang w:val="fr-FR"/>
        </w:rPr>
        <w:t xml:space="preserve"> que son mandat a été élargi pour appuyer la participation des peuples autochtones, y compris les femmes, les jeunes et les personnes handicapées autochtones, aux processus des Nations Unies relatifs aux entreprises et aux droits de l’homme et aux changements climatiques ;</w:t>
      </w:r>
    </w:p>
    <w:p>
      <w:pPr>
        <w:pStyle w:val="SingleTxtG"/>
        <w:ind w:left="1134" w:right="1134" w:firstLine="567"/>
        <w:rPr>
          <w:iCs/>
          <w:lang w:val="fr-FR"/>
        </w:rPr>
      </w:pPr>
      <w:r>
        <w:rPr>
          <w:iCs/>
          <w:lang w:val="fr-FR"/>
        </w:rPr>
        <w:t>6.</w:t>
        <w:tab/>
      </w:r>
      <w:r>
        <w:rPr>
          <w:i/>
          <w:iCs/>
          <w:lang w:val="fr-FR"/>
        </w:rPr>
        <w:t xml:space="preserve">Salue </w:t>
      </w:r>
      <w:r>
        <w:rPr>
          <w:lang w:val="fr-FR"/>
        </w:rPr>
        <w:t>les efforts faits par les États, les peuples autochtones et les organismes des Nations Unies pour collaborer avec le Mécanisme d’experts dans le cadre de son mandat actuel, qui consiste à faciliter le dialogue, lorsque toutes les parties le souhaitent, et à fournir une assistance technique et une coordination en vue de réaliser les objectifs de la Déclaration des Nations Unies sur les droits des peuples autochtones, et encourage toutes les parties à envisager que le Mécanisme d’experts entreprenne des missions au niveau des pays à la demande des États et des peuples autochtones et remercie pour leur concours les États qui ont déjà collaboré avec le Mécanisme d’experts au titre de son mandat actuel ;</w:t>
      </w:r>
    </w:p>
    <w:p>
      <w:pPr>
        <w:pStyle w:val="SingleTxtG"/>
        <w:ind w:left="1134" w:right="1134" w:firstLine="567"/>
        <w:rPr>
          <w:iCs/>
          <w:lang w:val="fr-FR"/>
        </w:rPr>
      </w:pPr>
      <w:r>
        <w:rPr>
          <w:iCs/>
          <w:lang w:val="fr-FR"/>
        </w:rPr>
        <w:t>7.</w:t>
        <w:tab/>
      </w:r>
      <w:r>
        <w:rPr>
          <w:i/>
          <w:iCs/>
          <w:lang w:val="fr-FR"/>
        </w:rPr>
        <w:t xml:space="preserve">Note </w:t>
      </w:r>
      <w:r>
        <w:rPr>
          <w:lang w:val="fr-FR"/>
        </w:rPr>
        <w:t xml:space="preserve">que la prochaine étude du Mécanisme d’experts, qui doit être achevée </w:t>
      </w:r>
      <w:r>
        <w:rPr>
          <w:highlight w:val="yellow"/>
          <w:lang w:val="fr-FR"/>
        </w:rPr>
        <w:t>pour sa quinzième session</w:t>
      </w:r>
      <w:r>
        <w:rPr>
          <w:lang w:val="fr-FR"/>
        </w:rPr>
        <w:t xml:space="preserve">, sera axée </w:t>
      </w:r>
      <w:r>
        <w:rPr>
          <w:highlight w:val="yellow"/>
          <w:lang w:val="fr-FR"/>
        </w:rPr>
        <w:t>sur les traités, les arrangements constructifs et les processus en cours pour trouver une base constitutionnelle pour la mise en œuvre des traités,</w:t>
      </w:r>
      <w:r>
        <w:rPr>
          <w:lang w:val="fr-FR"/>
        </w:rPr>
        <w:t xml:space="preserve"> et prend acte des efforts faits pour renforcer la complémentarité et éviter les doubles emplois entre les rapports établis par le Mécanisme d’experts,</w:t>
      </w:r>
    </w:p>
    <w:p>
      <w:pPr>
        <w:pStyle w:val="SingleTxtG"/>
        <w:ind w:left="1134" w:right="1134" w:firstLine="567"/>
        <w:rPr>
          <w:lang w:val="fr-FR"/>
        </w:rPr>
      </w:pPr>
      <w:r>
        <w:rPr>
          <w:lang w:val="fr-FR"/>
        </w:rPr>
        <w:t>8.</w:t>
        <w:tab/>
      </w:r>
      <w:r>
        <w:rPr>
          <w:i/>
          <w:iCs/>
          <w:lang w:val="fr-FR"/>
        </w:rPr>
        <w:t xml:space="preserve">Salue </w:t>
      </w:r>
      <w:r>
        <w:rPr>
          <w:lang w:val="fr-FR"/>
        </w:rPr>
        <w:t>les progrès accomplis, les résultats obtenus et les enseignements tirés dans le cadre de l’Année internationale des langues autochtones en 2019 grâce aux activités menées par l’Organisation des Nations Unies pour l’éducation, la science et la culture ;</w:t>
      </w:r>
    </w:p>
    <w:p>
      <w:pPr>
        <w:pStyle w:val="SingleTxtG"/>
        <w:ind w:left="1134" w:right="1134" w:firstLine="567"/>
        <w:rPr>
          <w:highlight w:val="yellow"/>
          <w:lang w:val="fr-FR"/>
        </w:rPr>
      </w:pPr>
      <w:r>
        <w:rPr>
          <w:i/>
          <w:iCs/>
          <w:lang w:val="fr-FR"/>
        </w:rPr>
        <w:t>9.</w:t>
        <w:tab/>
        <w:t xml:space="preserve">Salue </w:t>
      </w:r>
      <w:r>
        <w:rPr>
          <w:lang w:val="fr-FR"/>
        </w:rPr>
        <w:t>la proclamation de la période 2022-2032 « Décennie internationale des langues autochtones » en vue d’appeler l’attention sur la catastrophe que représente la disparition des langues autochtones et sur l’impérieuse nécessité de préserver, de revitaliser et de promouvoir ces langues, et de prendre sans délai des mesures aux niveaux national et international</w:t>
      </w:r>
      <w:r>
        <w:rPr>
          <w:sz w:val="12"/>
          <w:szCs w:val="12"/>
          <w:lang w:val="fr-FR"/>
        </w:rPr>
        <w:t xml:space="preserve">8 </w:t>
      </w:r>
      <w:r>
        <w:rPr>
          <w:highlight w:val="yellow"/>
          <w:lang w:val="fr-FR"/>
        </w:rPr>
        <w:t>; et appeler les États à assurer la participation effective et significative des peuples autochtones à la direction et à la tenue d'activités pour marquer la Décennie (sur la base des recommandations formulées par le MEDPA lors de sa 14e session)</w:t>
      </w:r>
    </w:p>
    <w:p>
      <w:pPr>
        <w:pStyle w:val="SingleTxtG"/>
        <w:ind w:left="1134" w:right="1134" w:firstLine="567"/>
        <w:rPr>
          <w:highlight w:val="yellow"/>
          <w:lang w:val="fr-FR"/>
        </w:rPr>
      </w:pPr>
      <w:r>
        <w:rPr>
          <w:lang w:val="fr-FR"/>
        </w:rPr>
        <w:t>10.</w:t>
        <w:tab/>
      </w:r>
      <w:r>
        <w:rPr>
          <w:i/>
          <w:iCs/>
          <w:lang w:val="fr-FR"/>
        </w:rPr>
        <w:t xml:space="preserve">Prend note </w:t>
      </w:r>
      <w:r>
        <w:rPr>
          <w:lang w:val="fr-FR"/>
        </w:rPr>
        <w:t xml:space="preserve">du document final issu de la manifestation de haut niveau organisée en février 2020 à l’occasion de la clôture de l’Année internationale des langues autochtones (2019), intitulé « Déclaration de Los Pinos [Chapoltepek] − Lancer une décennie d’action pour les langues autochtones », </w:t>
      </w:r>
      <w:r>
        <w:rPr>
          <w:highlight w:val="yellow"/>
          <w:lang w:val="fr-FR"/>
        </w:rPr>
        <w:t>et se fécilite de l’établissement du Groupe de Travail pour la mise en œuvre d’une décennie d’action pour les langues autochtones par l’Organisation des Nations unies pour l'éducation, la science et la culture.</w:t>
      </w:r>
    </w:p>
    <w:p>
      <w:pPr>
        <w:pStyle w:val="SingleTxtG"/>
        <w:ind w:left="1134" w:right="1134" w:firstLine="567"/>
        <w:rPr>
          <w:iCs/>
          <w:lang w:val="fr-FR"/>
        </w:rPr>
      </w:pPr>
      <w:r>
        <w:rPr>
          <w:iCs/>
          <w:lang w:val="fr-FR"/>
        </w:rPr>
        <w:t>11.</w:t>
        <w:tab/>
      </w:r>
      <w:r>
        <w:rPr>
          <w:i/>
          <w:iCs/>
          <w:lang w:val="fr-FR"/>
        </w:rPr>
        <w:t xml:space="preserve">Décide </w:t>
      </w:r>
      <w:r>
        <w:rPr>
          <w:lang w:val="fr-FR"/>
        </w:rPr>
        <w:t xml:space="preserve">que la table ronde annuelle d’une demi-journée consacrée aux droits des peuples autochtones, qui se tiendra pendant </w:t>
      </w:r>
      <w:r>
        <w:rPr>
          <w:highlight w:val="yellow"/>
          <w:lang w:val="fr-FR"/>
        </w:rPr>
        <w:t>sa cinquante-et-unième session</w:t>
      </w:r>
      <w:r>
        <w:rPr>
          <w:lang w:val="fr-FR"/>
        </w:rPr>
        <w:t xml:space="preserve">, aura pour thème être sur </w:t>
      </w:r>
      <w:r>
        <w:rPr>
          <w:highlight w:val="yellow"/>
          <w:lang w:val="fr-FR"/>
        </w:rPr>
        <w:t>l'impact des plans de relance sociale et économique dans le contexte du COVID-19 sur les peuples autochtones, avec un accent particulier sur la sécurité alimentaire</w:t>
      </w:r>
      <w:r>
        <w:rPr>
          <w:lang w:val="fr-FR"/>
        </w:rPr>
        <w:t xml:space="preserve">, prie le Haut-Commissariat d’encourager et faciliter la participation de femmes autochtones, de rendre les débats pleinement accessibles aux personnes handicapées et d’établir un rapport résumant les débats à lui soumettre avant sa </w:t>
      </w:r>
      <w:r>
        <w:rPr>
          <w:highlight w:val="yellow"/>
          <w:lang w:val="fr-FR"/>
        </w:rPr>
        <w:t>cinquante-troisième</w:t>
      </w:r>
      <w:r>
        <w:rPr>
          <w:lang w:val="fr-FR"/>
        </w:rPr>
        <w:t xml:space="preserve"> session </w:t>
      </w:r>
      <w:r>
        <w:rPr>
          <w:highlight w:val="yellow"/>
          <w:lang w:val="fr-FR"/>
        </w:rPr>
        <w:t>(basé sur les recommandations émises par le MEDPA lors de sa 14</w:t>
      </w:r>
      <w:r>
        <w:rPr>
          <w:highlight w:val="yellow"/>
          <w:vertAlign w:val="superscript"/>
          <w:lang w:val="fr-FR"/>
        </w:rPr>
        <w:t>ème</w:t>
      </w:r>
      <w:r>
        <w:rPr>
          <w:highlight w:val="yellow"/>
          <w:lang w:val="fr-FR"/>
        </w:rPr>
        <w:t xml:space="preserve"> session)</w:t>
      </w:r>
      <w:r>
        <w:rPr>
          <w:lang w:val="fr-FR"/>
        </w:rPr>
        <w:t>;</w:t>
      </w:r>
    </w:p>
    <w:p>
      <w:pPr>
        <w:pStyle w:val="SingleTxtG"/>
        <w:ind w:left="1134" w:right="1134" w:firstLine="567"/>
        <w:rPr>
          <w:lang w:val="fr-FR"/>
        </w:rPr>
      </w:pPr>
      <w:r>
        <w:rPr>
          <w:iCs/>
          <w:lang w:val="fr-FR"/>
        </w:rPr>
        <w:t>12.</w:t>
        <w:tab/>
      </w:r>
      <w:r>
        <w:rPr>
          <w:i/>
          <w:iCs/>
          <w:lang w:val="fr-FR"/>
        </w:rPr>
        <w:t xml:space="preserve">Invite </w:t>
      </w:r>
      <w:r>
        <w:rPr>
          <w:lang w:val="fr-FR"/>
        </w:rPr>
        <w:t>toutes les parties prenantes, dans leurs interventions face à la pandémie de COVID-19 et leurs efforts de relèvement, à agir en concertation avec les représentants et les institutions des peuples autochtones, dans l’esprit des objectifs de la Déclaration des Nations Unies sur les droits des peuples autochtones, et à se référer aux lignes directrices du Haut-Commissariat à cet égard</w:t>
      </w:r>
      <w:r>
        <w:rPr>
          <w:sz w:val="12"/>
          <w:szCs w:val="12"/>
          <w:lang w:val="fr-FR"/>
        </w:rPr>
        <w:t xml:space="preserve">9 </w:t>
      </w:r>
      <w:r>
        <w:rPr>
          <w:lang w:val="fr-FR"/>
        </w:rPr>
        <w:t>;</w:t>
      </w:r>
    </w:p>
    <w:p>
      <w:pPr>
        <w:pStyle w:val="SingleTxtG"/>
        <w:ind w:left="1134" w:right="1134" w:firstLine="567"/>
        <w:rPr>
          <w:lang w:val="fr-FR"/>
        </w:rPr>
      </w:pPr>
      <w:r>
        <w:rPr>
          <w:lang w:val="fr-FR"/>
        </w:rPr>
        <w:t>13.</w:t>
      </w:r>
      <w:r>
        <w:rPr>
          <w:i/>
          <w:iCs/>
          <w:lang w:val="fr-FR"/>
        </w:rPr>
        <w:tab/>
      </w:r>
      <w:r>
        <w:rPr>
          <w:i/>
          <w:iCs/>
          <w:highlight w:val="yellow"/>
          <w:lang w:val="fr-FR"/>
        </w:rPr>
        <w:t>Rappelle</w:t>
      </w:r>
      <w:r>
        <w:rPr>
          <w:i/>
          <w:iCs/>
          <w:lang w:val="fr-FR"/>
        </w:rPr>
        <w:t xml:space="preserve"> </w:t>
      </w:r>
      <w:r>
        <w:rPr>
          <w:lang w:val="fr-FR"/>
        </w:rPr>
        <w:t xml:space="preserve">le rapport de synthèse sur le dialogue intersessions d’une demi-journée, tenu le 15 juillet 2019, sur les moyens de renforcer la participation des représentants et des institutions des peuples autochtones aux réunions qu’il organise sur des questions qui les concernent ; </w:t>
      </w:r>
      <w:r>
        <w:rPr>
          <w:highlight w:val="yellow"/>
          <w:lang w:val="fr-FR"/>
        </w:rPr>
        <w:t>et la réalisation de la table ronde intersessions sur les moyens de renforcer la participation des représentants et des institutions des peuples autochtones aux réunions du Conseil des droits de l'homme sur les questions les concernant tenue le 16 juillet 2021, et attend avec intérêt le rapport de la table ronde.</w:t>
      </w:r>
    </w:p>
    <w:p>
      <w:pPr>
        <w:pStyle w:val="SingleTxtG"/>
        <w:ind w:left="1134" w:right="1134" w:firstLine="567"/>
        <w:rPr>
          <w:iCs/>
          <w:lang w:val="fr-FR"/>
        </w:rPr>
      </w:pPr>
      <w:r>
        <w:rPr>
          <w:iCs/>
          <w:lang w:val="fr-FR"/>
        </w:rPr>
        <w:t>14.</w:t>
        <w:tab/>
      </w:r>
      <w:r>
        <w:rPr>
          <w:i/>
          <w:iCs/>
          <w:lang w:val="fr-FR"/>
        </w:rPr>
        <w:t xml:space="preserve">Décide </w:t>
      </w:r>
      <w:r>
        <w:rPr>
          <w:lang w:val="fr-FR"/>
        </w:rPr>
        <w:t xml:space="preserve">de continuer d’examiner les moyens de faciliter encore la participation des représentants et des institutions des peuples autochtones à ses travaux, en particulier à l’occasion du dialogue avec le Mécanisme d’experts et la Rapporteuse spéciale et du débat annuel d’une demi-journée sur les droits des peuples autochtones </w:t>
      </w:r>
      <w:r>
        <w:rPr>
          <w:iCs/>
          <w:lang w:val="fr-FR"/>
        </w:rPr>
        <w:t>;</w:t>
      </w:r>
    </w:p>
    <w:p>
      <w:pPr>
        <w:pStyle w:val="SingleTxtG"/>
        <w:ind w:left="1134" w:right="1134" w:firstLine="567"/>
        <w:rPr>
          <w:iCs/>
          <w:lang w:val="fr-FR"/>
        </w:rPr>
      </w:pPr>
      <w:r>
        <w:rPr>
          <w:iCs/>
          <w:lang w:val="fr-FR"/>
        </w:rPr>
        <w:t>15.</w:t>
        <w:tab/>
        <w:t>Demande au Haut-Commissariat des Nations Unies aux droits de l'homme d'organiser un atelier d'experts de quatre jours en 2022, ouvert à la participation des États, des représentants et des institutions des peuples autochtones des sept régions socioculturelles autochtones, notamment en sollicitant la soumission de contributions écrites, pour discuter des recommandations sur les moyens possibles d'assurer une participation accrue des peuples autochtones aux travaux du Conseil des droits de l'homme, et pour soumettre un rapport reflétant les discussions et les recommandations faites avant la cinquante-troisième session. (sur la base des recommandations du MEDPA formulées lors de sa 14e session)</w:t>
      </w:r>
    </w:p>
    <w:p>
      <w:pPr>
        <w:pStyle w:val="SingleTxtG"/>
        <w:ind w:left="1134" w:right="1134" w:firstLine="567"/>
        <w:rPr>
          <w:iCs/>
          <w:lang w:val="fr-FR"/>
        </w:rPr>
      </w:pPr>
      <w:r>
        <w:rPr>
          <w:iCs/>
          <w:lang w:val="fr-FR"/>
        </w:rPr>
        <w:t>16.</w:t>
        <w:tab/>
        <w:t>Prie également le Haut-Commissariat aux droits de l'homme, lors de la préparation de l'atelier et du rapport susmentionnés, de solliciter les contributions et de prendre en compte les travaux pertinents déjà effectués par les parties prenantes, y compris les États Membres, les représentants autochtones, le Mécanisme d’Experts sur les Droits des Peuples Autochtones, l'Instance Permanente des Nations Unies sur les Questions Autochtones, le Rapporteur Spécial sur les droits des peuples autochtones, le Conseil des Droits de l'Homme, le Président de l'Assemblée Générale et le Secrétaire Général, liés au renforcement de la participation des représentants et institutions des peuples autochtones aux réunions des organes compétents des Nations Unies sur les questions les concernant. (question basée sur les résolutions A/HRC/RES/30/11 du MEDPA et A/HRC/RES/47/23 sur les nouvelles technologies qui ont demandé la consultation d'experts)</w:t>
      </w:r>
    </w:p>
    <w:p>
      <w:pPr>
        <w:pStyle w:val="SingleTxtG"/>
        <w:ind w:left="1134" w:right="1134" w:firstLine="567"/>
        <w:rPr>
          <w:iCs/>
          <w:lang w:val="fr-FR"/>
        </w:rPr>
      </w:pPr>
      <w:r>
        <w:rPr>
          <w:iCs/>
          <w:highlight w:val="yellow"/>
          <w:lang w:val="fr-FR"/>
        </w:rPr>
        <w:t>17</w:t>
      </w:r>
      <w:r>
        <w:rPr>
          <w:iCs/>
          <w:lang w:val="fr-FR"/>
        </w:rPr>
        <w:t>.</w:t>
        <w:tab/>
      </w:r>
      <w:r>
        <w:rPr>
          <w:i/>
          <w:iCs/>
          <w:lang w:val="fr-FR"/>
        </w:rPr>
        <w:t xml:space="preserve">Invite </w:t>
      </w:r>
      <w:r>
        <w:rPr>
          <w:lang w:val="fr-FR"/>
        </w:rPr>
        <w:t>le Mécanisme d’experts à poursuivre ses débats sur la question du renforcement de la participation des représentants et des institutions des peuples autochtones aux réunions que le Conseil des droits de l’homme consacre à des questions qui les concernent ;</w:t>
      </w:r>
    </w:p>
    <w:p>
      <w:pPr>
        <w:pStyle w:val="SingleTxtG"/>
        <w:ind w:left="1134" w:right="1134" w:firstLine="567"/>
        <w:rPr>
          <w:iCs/>
          <w:lang w:val="fr-FR"/>
        </w:rPr>
      </w:pPr>
      <w:r>
        <w:rPr>
          <w:iCs/>
          <w:highlight w:val="yellow"/>
          <w:lang w:val="fr-FR"/>
        </w:rPr>
        <w:t>18.</w:t>
        <w:tab/>
        <w:t>Invite le Fonds de contributions volontaires des Nations Unies pour les peuples autochtones à aider, dans le cadre de ses règles et procédures établies, les représentants des organisations et institutions des peuples autochtones à participer à l'atelier demandé dans la présente résolution, en assurant, dans la mesure du possible, une représentation régionale équilibrée (sur la base des recommandations du MEDPA formulées lors de sa 14e session)</w:t>
      </w:r>
    </w:p>
    <w:p>
      <w:pPr>
        <w:pStyle w:val="Default"/>
        <w:ind w:left="1134" w:right="1134" w:firstLine="567"/>
        <w:jc w:val="both"/>
        <w:rPr>
          <w:sz w:val="20"/>
          <w:szCs w:val="20"/>
        </w:rPr>
      </w:pPr>
      <w:r>
        <w:rPr>
          <w:iCs/>
          <w:sz w:val="20"/>
          <w:szCs w:val="20"/>
          <w:highlight w:val="yellow"/>
        </w:rPr>
        <w:t>19</w:t>
      </w:r>
      <w:r>
        <w:rPr>
          <w:iCs/>
          <w:sz w:val="20"/>
          <w:szCs w:val="20"/>
        </w:rPr>
        <w:t>.</w:t>
        <w:tab/>
      </w:r>
      <w:r>
        <w:rPr>
          <w:i/>
          <w:iCs/>
          <w:sz w:val="20"/>
          <w:szCs w:val="20"/>
        </w:rPr>
        <w:t xml:space="preserve">Invite </w:t>
      </w:r>
      <w:r>
        <w:rPr>
          <w:sz w:val="20"/>
          <w:szCs w:val="20"/>
        </w:rPr>
        <w:t xml:space="preserve">les États à tenir dûment compte des droits des peuples autochtones et des formes multiples et croisées de discrimination auxquelles sont soumis les peuples et les personnes autochtones, y compris des reculs qui ont pu survenir et des obstacles qui se sont aggravés en raison de la pandémie de maladie à COVID-19, lorsqu’ils s’acquittent des engagements pris au titre du Programme de développement durable à l’horizon 2030 et formulent à cet effet des programmes internationaux et régionaux, ainsi que des plans d’action, stratégies et programmes nationaux, en appliquant le principe consistant à ne laisser personne de côté ; </w:t>
      </w:r>
    </w:p>
    <w:p>
      <w:pPr>
        <w:pStyle w:val="SingleTxtG"/>
        <w:ind w:left="1134" w:right="1134" w:firstLine="567"/>
        <w:rPr>
          <w:lang w:val="fr-FR"/>
        </w:rPr>
      </w:pPr>
      <w:r>
        <w:rPr>
          <w:highlight w:val="yellow"/>
          <w:lang w:val="fr-FR"/>
        </w:rPr>
        <w:t>20</w:t>
      </w:r>
      <w:r>
        <w:rPr>
          <w:lang w:val="fr-FR"/>
        </w:rPr>
        <w:t>.</w:t>
        <w:tab/>
      </w:r>
      <w:r>
        <w:rPr>
          <w:i/>
          <w:iCs/>
          <w:lang w:val="fr-FR"/>
        </w:rPr>
        <w:t xml:space="preserve">Engage </w:t>
      </w:r>
      <w:r>
        <w:rPr>
          <w:highlight w:val="yellow"/>
          <w:lang w:val="fr-FR"/>
        </w:rPr>
        <w:t>le Rapporteur spécial</w:t>
      </w:r>
      <w:r>
        <w:rPr>
          <w:lang w:val="fr-FR"/>
        </w:rPr>
        <w:t>, le Mécanisme d’experts et l’Instance permanente sur les questions autochtones à renforcer leur coopération et leur coordination actuelles et leurs efforts actuels visant à promouvoir les droits des peuples autochtones, notamment dans le contexte de l’application des traités et de la Déclaration des Nations Unies sur les droits des peuples autochtones, ainsi que de la suite donnée à la Conférence mondiale sur les peuples autochtones, et les invite à continuer de collaborer étroitement avec tous ses mécanismes et avec les organes conventionnels, dans le cadre de leurs mandats respectifs ;</w:t>
      </w:r>
    </w:p>
    <w:p>
      <w:pPr>
        <w:pStyle w:val="SingleTxtG"/>
        <w:ind w:left="1134" w:right="1134" w:firstLine="567"/>
        <w:rPr>
          <w:lang w:val="fr-FR"/>
        </w:rPr>
      </w:pPr>
      <w:r>
        <w:rPr>
          <w:highlight w:val="yellow"/>
          <w:lang w:val="fr-FR"/>
        </w:rPr>
        <w:t>21</w:t>
      </w:r>
      <w:r>
        <w:rPr>
          <w:lang w:val="fr-FR"/>
        </w:rPr>
        <w:t>.</w:t>
        <w:tab/>
      </w:r>
      <w:r>
        <w:rPr>
          <w:i/>
          <w:iCs/>
          <w:lang w:val="fr-FR"/>
        </w:rPr>
        <w:t xml:space="preserve">Encourage </w:t>
      </w:r>
      <w:r>
        <w:rPr>
          <w:lang w:val="fr-FR"/>
        </w:rPr>
        <w:t xml:space="preserve">l’élaboration d’un </w:t>
      </w:r>
      <w:r>
        <w:rPr>
          <w:highlight w:val="yellow"/>
          <w:lang w:val="fr-FR"/>
        </w:rPr>
        <w:t>mécanisme</w:t>
      </w:r>
      <w:r>
        <w:rPr>
          <w:lang w:val="fr-FR"/>
        </w:rPr>
        <w:t xml:space="preserve"> de facilitation du rapatriement international des objets sacrés et des restes humains des peuples autochtones mené avec la participation continue et conforme à leur mandat de l’Organisation des Nations Unies pour l’éducation, la science et la culture, de l’Organisation mondiale de la propriété intellectuelle, du Mécanisme d’experts, de la Rapporteuse spéciale sur les droits des peuples autochtones, de l’Instance permanente sur les questions autochtones, des peuples autochtones et de toutes autres parties concernées, conformément à leurs mandats ;</w:t>
      </w:r>
    </w:p>
    <w:p>
      <w:pPr>
        <w:pStyle w:val="Default"/>
        <w:spacing w:before="0" w:after="288"/>
        <w:ind w:left="1276" w:right="1134" w:firstLine="425"/>
        <w:jc w:val="both"/>
        <w:rPr>
          <w:sz w:val="20"/>
          <w:szCs w:val="20"/>
        </w:rPr>
      </w:pPr>
      <w:r>
        <w:rPr>
          <w:color w:val="auto"/>
          <w:sz w:val="20"/>
          <w:szCs w:val="20"/>
          <w:highlight w:val="yellow"/>
          <w:lang w:eastAsia="en-US"/>
        </w:rPr>
        <w:t>22.</w:t>
      </w:r>
      <w:r>
        <w:rPr>
          <w:iCs/>
          <w:sz w:val="20"/>
          <w:szCs w:val="20"/>
        </w:rPr>
        <w:tab/>
      </w:r>
      <w:r>
        <w:rPr>
          <w:i/>
          <w:iCs/>
          <w:sz w:val="20"/>
          <w:szCs w:val="20"/>
        </w:rPr>
        <w:t xml:space="preserve">Réaffirme </w:t>
      </w:r>
      <w:r>
        <w:rPr>
          <w:sz w:val="20"/>
          <w:szCs w:val="20"/>
        </w:rPr>
        <w:t xml:space="preserve">que les organes conventionnels des Nations Unies sont des mécanismes importants de promotion et de protection des droits de l’homme et engage les États à accorder une attention particulière à leurs recommandations, notamment celles concernant les peuples autochtones, aux fins de l’application des traités ; </w:t>
      </w:r>
    </w:p>
    <w:p>
      <w:pPr>
        <w:pStyle w:val="Default"/>
        <w:spacing w:before="0" w:after="288"/>
        <w:ind w:left="1276" w:right="1134" w:firstLine="425"/>
        <w:jc w:val="both"/>
        <w:rPr>
          <w:sz w:val="20"/>
          <w:szCs w:val="20"/>
        </w:rPr>
      </w:pPr>
      <w:r>
        <w:rPr>
          <w:color w:val="auto"/>
          <w:sz w:val="20"/>
          <w:szCs w:val="20"/>
          <w:highlight w:val="yellow"/>
          <w:lang w:eastAsia="en-US"/>
        </w:rPr>
        <w:t>23</w:t>
      </w:r>
      <w:r>
        <w:rPr>
          <w:sz w:val="20"/>
          <w:szCs w:val="20"/>
        </w:rPr>
        <w:t>.</w:t>
        <w:tab/>
      </w:r>
      <w:r>
        <w:rPr>
          <w:i/>
          <w:iCs/>
          <w:sz w:val="20"/>
          <w:szCs w:val="20"/>
        </w:rPr>
        <w:t xml:space="preserve">Se félicite </w:t>
      </w:r>
      <w:r>
        <w:rPr>
          <w:sz w:val="20"/>
          <w:szCs w:val="20"/>
        </w:rPr>
        <w:t xml:space="preserve">de la contribution de l’Examen périodique universel à la réalisation des droits des peuples autochtones, recommande qu’une suite concrète soit donnée aux recommandations concernant les peuples autochtones qui ont été acceptées dans le cadre de l’Examen et invite les États à fournir, selon que nécessaire, lors de l’Examen, des informations sur la situation des droits des peuples autochtones, y compris les mesures prises pour atteindre les objectifs définis dans la Déclaration des Nations Unies sur les droits des peuples autochtones ; </w:t>
      </w:r>
    </w:p>
    <w:p>
      <w:pPr>
        <w:pStyle w:val="Default"/>
        <w:spacing w:before="0" w:after="288"/>
        <w:ind w:left="1276" w:right="1134" w:firstLine="425"/>
        <w:jc w:val="both"/>
        <w:rPr>
          <w:sz w:val="20"/>
          <w:szCs w:val="20"/>
        </w:rPr>
      </w:pPr>
      <w:r>
        <w:rPr>
          <w:color w:val="auto"/>
          <w:sz w:val="20"/>
          <w:szCs w:val="20"/>
          <w:highlight w:val="yellow"/>
          <w:lang w:eastAsia="en-US"/>
        </w:rPr>
        <w:t>24</w:t>
      </w:r>
      <w:r>
        <w:rPr>
          <w:sz w:val="20"/>
          <w:szCs w:val="20"/>
        </w:rPr>
        <w:t>.</w:t>
        <w:tab/>
      </w:r>
      <w:r>
        <w:rPr>
          <w:i/>
          <w:iCs/>
          <w:sz w:val="20"/>
          <w:szCs w:val="20"/>
        </w:rPr>
        <w:t xml:space="preserve">Demande </w:t>
      </w:r>
      <w:r>
        <w:rPr>
          <w:sz w:val="20"/>
          <w:szCs w:val="20"/>
        </w:rPr>
        <w:t xml:space="preserve">aux États de réaliser les objectifs définis dans la Déclaration des Nations Unies sur les droits des peuples autochtones en adoptant les mesures nécessaires, par exemple des plans d’action nationaux, des lois ou d’autres dispositifs, en concertation et en coopération avec les peuples autochtones et en tenant compte des langues qu’ils utilisent ; </w:t>
      </w:r>
    </w:p>
    <w:p>
      <w:pPr>
        <w:pStyle w:val="Default"/>
        <w:spacing w:before="0" w:after="288"/>
        <w:ind w:left="1276" w:right="1134" w:firstLine="425"/>
        <w:jc w:val="both"/>
        <w:rPr>
          <w:sz w:val="20"/>
          <w:szCs w:val="20"/>
        </w:rPr>
      </w:pPr>
      <w:r>
        <w:rPr>
          <w:sz w:val="20"/>
          <w:szCs w:val="20"/>
          <w:highlight w:val="yellow"/>
        </w:rPr>
        <w:t>25</w:t>
      </w:r>
      <w:r>
        <w:rPr>
          <w:sz w:val="20"/>
          <w:szCs w:val="20"/>
        </w:rPr>
        <w:t>.</w:t>
        <w:tab/>
      </w:r>
      <w:r>
        <w:rPr>
          <w:i/>
          <w:iCs/>
          <w:sz w:val="20"/>
          <w:szCs w:val="20"/>
        </w:rPr>
        <w:t xml:space="preserve">Prie </w:t>
      </w:r>
      <w:r>
        <w:rPr>
          <w:sz w:val="20"/>
          <w:szCs w:val="20"/>
        </w:rPr>
        <w:t xml:space="preserve">les États de toutes les régions qui n’ont pas encore ratifié la Convention de 1989 relative aux peuples indigènes et tribaux (no 169) de l’Organisation internationale du Travail ou qui n’y ont pas encore adhéré d’envisager de le faire, compte tenu de la contribution de ce texte à la promotion et à la protection des droits des peuples autochtones ; </w:t>
      </w:r>
    </w:p>
    <w:p>
      <w:pPr>
        <w:pStyle w:val="SingleTxtG"/>
        <w:spacing w:before="0" w:after="288"/>
        <w:ind w:left="1134" w:right="1134" w:firstLine="567"/>
        <w:rPr>
          <w:lang w:val="fr-FR"/>
        </w:rPr>
      </w:pPr>
      <w:r>
        <w:rPr>
          <w:highlight w:val="yellow"/>
          <w:lang w:val="fr-FR"/>
        </w:rPr>
        <w:t>26</w:t>
      </w:r>
      <w:r>
        <w:rPr>
          <w:lang w:val="fr-FR"/>
        </w:rPr>
        <w:t>.</w:t>
        <w:tab/>
      </w:r>
      <w:r>
        <w:rPr>
          <w:i/>
          <w:iCs/>
          <w:lang w:val="fr-FR"/>
        </w:rPr>
        <w:t xml:space="preserve">Se félicite </w:t>
      </w:r>
      <w:r>
        <w:rPr>
          <w:lang w:val="fr-FR"/>
        </w:rPr>
        <w:t xml:space="preserve">du rôle que les institutions nationales des droits de l’homme créées conformément aux Principes concernant le statut des institutions nationales pour la promotion et la protection des droits de l’homme (Principes de Paris) jouent dans la promotion des questions autochtones et a conscience qu’il importe que ces institutions développent et renforcent leurs capacités, selon que nécessaire, pour remplir efficacement ce rôle ; </w:t>
      </w:r>
    </w:p>
    <w:p>
      <w:pPr>
        <w:pStyle w:val="Default"/>
        <w:spacing w:before="0" w:after="288"/>
        <w:ind w:left="1134" w:right="1134" w:firstLine="567"/>
        <w:jc w:val="both"/>
        <w:rPr>
          <w:sz w:val="20"/>
          <w:szCs w:val="20"/>
        </w:rPr>
      </w:pPr>
      <w:r>
        <w:rPr>
          <w:iCs/>
          <w:sz w:val="20"/>
          <w:szCs w:val="20"/>
          <w:highlight w:val="yellow"/>
        </w:rPr>
        <w:t>27.</w:t>
      </w:r>
      <w:r>
        <w:rPr>
          <w:iCs/>
          <w:sz w:val="20"/>
          <w:szCs w:val="20"/>
        </w:rPr>
        <w:tab/>
      </w:r>
      <w:r>
        <w:rPr>
          <w:i/>
          <w:iCs/>
          <w:sz w:val="20"/>
          <w:szCs w:val="20"/>
        </w:rPr>
        <w:t xml:space="preserve">Engage </w:t>
      </w:r>
      <w:r>
        <w:rPr>
          <w:sz w:val="20"/>
          <w:szCs w:val="20"/>
        </w:rPr>
        <w:t xml:space="preserve">les États à recueillir et à diffuser, compte tenu du contexte et des caractéristiques du pays considéré, des données ventilées selon l’origine ethnique, le niveau de revenu, le sexe, l’âge, la race, le statut migratoire, le handicap, l’emplacement géographique ou d’autres facteurs, selon qu’il conviendra, afin d’évaluer et d’améliorer les effets des politiques, stratégies et programmes de développement visant à améliorer la situation des peuples et des personnes autochtones, de combattre et d’éliminer la violence et les formes multiples et croisées de discrimination dont ils sont victimes, en tenant compte des besoins et des priorités spécifiques des peuples autochtones face à la pandémie de COVID-19, et de favoriser la réalisation des objectifs de développement durable et du Programme 2030 ; </w:t>
      </w:r>
    </w:p>
    <w:p>
      <w:pPr>
        <w:pStyle w:val="Default"/>
        <w:spacing w:before="0" w:after="288"/>
        <w:ind w:left="1134" w:right="1134" w:firstLine="567"/>
        <w:jc w:val="both"/>
        <w:rPr>
          <w:sz w:val="20"/>
          <w:szCs w:val="20"/>
        </w:rPr>
      </w:pPr>
      <w:r>
        <w:rPr>
          <w:sz w:val="20"/>
          <w:szCs w:val="20"/>
          <w:highlight w:val="yellow"/>
        </w:rPr>
        <w:t>28</w:t>
      </w:r>
      <w:r>
        <w:rPr>
          <w:sz w:val="20"/>
          <w:szCs w:val="20"/>
        </w:rPr>
        <w:t>.</w:t>
        <w:tab/>
      </w:r>
      <w:r>
        <w:rPr>
          <w:i/>
          <w:iCs/>
          <w:sz w:val="20"/>
          <w:szCs w:val="20"/>
        </w:rPr>
        <w:t xml:space="preserve">Engage également </w:t>
      </w:r>
      <w:r>
        <w:rPr>
          <w:sz w:val="20"/>
          <w:szCs w:val="20"/>
        </w:rPr>
        <w:t xml:space="preserve">les États à collaborer avec les peuples autochtones en vue d’améliorer les technologies et les pratiques auxquelles ils recourent pour faire face aux changements climatiques et y répondre, ainsi que les mesures prises à cet effet, et reconnaît l’importance de la plateforme des communautés locales et des peuples autochtones pour échanger des données d’expérience et mettre en commun des bonnes pratiques sur l’atténuation et l’adaptation de façon globale et intégrée ; </w:t>
      </w:r>
    </w:p>
    <w:p>
      <w:pPr>
        <w:pStyle w:val="Default"/>
        <w:spacing w:before="0" w:after="288"/>
        <w:ind w:left="1134" w:right="1134" w:firstLine="567"/>
        <w:jc w:val="both"/>
        <w:rPr>
          <w:sz w:val="20"/>
          <w:szCs w:val="20"/>
        </w:rPr>
      </w:pPr>
      <w:r>
        <w:rPr>
          <w:sz w:val="20"/>
          <w:szCs w:val="20"/>
          <w:highlight w:val="yellow"/>
        </w:rPr>
        <w:t>29</w:t>
      </w:r>
      <w:r>
        <w:rPr>
          <w:sz w:val="20"/>
          <w:szCs w:val="20"/>
        </w:rPr>
        <w:t>.</w:t>
        <w:tab/>
      </w:r>
      <w:r>
        <w:rPr>
          <w:i/>
          <w:iCs/>
          <w:sz w:val="20"/>
          <w:szCs w:val="20"/>
        </w:rPr>
        <w:t xml:space="preserve">Réaffirme </w:t>
      </w:r>
      <w:r>
        <w:rPr>
          <w:sz w:val="20"/>
          <w:szCs w:val="20"/>
        </w:rPr>
        <w:t xml:space="preserve">qu’il importe de promouvoir le renforcement du pouvoir d’action politique, social et économique des femmes autochtones, notamment en veillant à ce qu’elles aient accès à une éducation inclusive de qualité et puissent véritablement participer à la vie économique, en s’attaquant aux formes multiples et croisées de discrimination et aux obstacles qu’elles rencontrent, dont la violence, et de promouvoir la participation de ces femmes aux décisions qui les concernent, à tous les niveaux et dans tous les domaines, tout en respectant et en protégeant leurs savoirs traditionnels et ancestraux, compte tenu de l’importance que revêt la Déclaration des Nations Unies sur les droits des peuples autochtones pour les femmes et les filles, et invite les États à étudier de près les recommandations mentionnées plus haut, selon qu’il conviendra ; </w:t>
      </w:r>
    </w:p>
    <w:p>
      <w:pPr>
        <w:pStyle w:val="SingleTxtG"/>
        <w:spacing w:before="0" w:after="288"/>
        <w:ind w:left="1134" w:right="1134" w:firstLine="567"/>
        <w:rPr>
          <w:lang w:val="fr-FR"/>
        </w:rPr>
      </w:pPr>
      <w:r>
        <w:rPr>
          <w:highlight w:val="yellow"/>
          <w:lang w:val="fr-FR"/>
        </w:rPr>
        <w:t>30</w:t>
      </w:r>
      <w:r>
        <w:rPr>
          <w:lang w:val="fr-FR"/>
        </w:rPr>
        <w:t>.</w:t>
        <w:tab/>
      </w:r>
      <w:r>
        <w:rPr>
          <w:i/>
          <w:iCs/>
          <w:lang w:val="fr-FR"/>
        </w:rPr>
        <w:t xml:space="preserve">Constate avec une vive préoccupation </w:t>
      </w:r>
      <w:r>
        <w:rPr>
          <w:lang w:val="fr-FR"/>
        </w:rPr>
        <w:t xml:space="preserve">que les défenseurs des droits de l’homme autochtones, les représentants des peuples autochtones participant aux réunions de l’Organisation des Nations Unies et les titulaires de mandat des Nations Unies s’occupant des droits des peuples autochtones font de plus en plus souvent l’objet de représailles et se déclare préoccupé par le fait que certains pays accueillant des réunions sur les questions autochtones refusent ou retardent intentionnellement l’octroi de visas d’entrée à certains titulaires de mandat des Nations Unies ; </w:t>
      </w:r>
    </w:p>
    <w:p>
      <w:pPr>
        <w:pStyle w:val="SingleTxtG"/>
        <w:spacing w:before="0" w:after="288"/>
        <w:ind w:left="1134" w:right="1134" w:firstLine="567"/>
        <w:rPr>
          <w:lang w:val="fr-FR"/>
        </w:rPr>
      </w:pPr>
      <w:r>
        <w:rPr>
          <w:highlight w:val="yellow"/>
          <w:lang w:val="fr-FR"/>
        </w:rPr>
        <w:t>31.</w:t>
      </w:r>
      <w:r>
        <w:rPr>
          <w:lang w:val="fr-FR"/>
        </w:rPr>
        <w:tab/>
      </w:r>
      <w:r>
        <w:rPr>
          <w:i/>
          <w:iCs/>
          <w:lang w:val="fr-FR"/>
        </w:rPr>
        <w:t xml:space="preserve">Exhorte </w:t>
      </w:r>
      <w:r>
        <w:rPr>
          <w:lang w:val="fr-FR"/>
        </w:rPr>
        <w:t xml:space="preserve">les États à prendre toutes les mesures nécessaires pour garantir les droits, la protection et la sécurité des peuples autochtones et de celles et ceux qui défendent leurs droits fondamentaux, </w:t>
      </w:r>
      <w:r>
        <w:rPr>
          <w:highlight w:val="yellow"/>
          <w:lang w:val="fr-FR"/>
        </w:rPr>
        <w:t>dont les femmes autochtones défendant les droits humains et les enfants autochtones défendant les droits humains (d’après les mots de A/HRC/RES/45/30, tel que proposé par le MEDPA lors de sa 14</w:t>
      </w:r>
      <w:r>
        <w:rPr>
          <w:highlight w:val="yellow"/>
          <w:vertAlign w:val="superscript"/>
          <w:lang w:val="fr-FR"/>
        </w:rPr>
        <w:t>ème</w:t>
      </w:r>
      <w:r>
        <w:rPr>
          <w:highlight w:val="yellow"/>
          <w:lang w:val="fr-FR"/>
        </w:rPr>
        <w:t xml:space="preserve"> session</w:t>
      </w:r>
      <w:r>
        <w:rPr>
          <w:lang w:val="fr-FR"/>
        </w:rPr>
        <w:t>) et à faire en sorte d’empêcher toute violation des droits de l’homme ou atteinte à l’égard de ces peuples et s’il s’en produit, d’enquêter sur les faits et de traduire en justice les responsables ;</w:t>
      </w:r>
    </w:p>
    <w:p>
      <w:pPr>
        <w:pStyle w:val="Default"/>
        <w:spacing w:before="0" w:after="288"/>
        <w:ind w:left="1134" w:right="1134" w:firstLine="567"/>
        <w:jc w:val="both"/>
        <w:rPr>
          <w:sz w:val="20"/>
          <w:szCs w:val="20"/>
        </w:rPr>
      </w:pPr>
      <w:r>
        <w:rPr>
          <w:iCs/>
          <w:sz w:val="20"/>
          <w:szCs w:val="20"/>
          <w:highlight w:val="yellow"/>
        </w:rPr>
        <w:t>32.</w:t>
      </w:r>
      <w:r>
        <w:rPr>
          <w:iCs/>
          <w:sz w:val="20"/>
          <w:szCs w:val="20"/>
        </w:rPr>
        <w:tab/>
      </w:r>
      <w:r>
        <w:rPr>
          <w:i/>
          <w:iCs/>
          <w:sz w:val="20"/>
          <w:szCs w:val="20"/>
        </w:rPr>
        <w:t xml:space="preserve">Invite </w:t>
      </w:r>
      <w:r>
        <w:rPr>
          <w:sz w:val="20"/>
          <w:szCs w:val="20"/>
        </w:rPr>
        <w:t xml:space="preserve">les États et les autres donateurs potentiels à soutenir les travaux du Partenariat des Nations Unies pour les peuples autochtones et du plan d’action à l’échelle du système visant à garantir l’unité de l’action menée pour réaliser les objectifs définis dans la Déclaration des Nations Unies sur les droits des peuples autochtones ; </w:t>
      </w:r>
    </w:p>
    <w:p>
      <w:pPr>
        <w:pStyle w:val="Default"/>
        <w:spacing w:before="0" w:after="288"/>
        <w:ind w:left="1134" w:right="1134" w:firstLine="567"/>
        <w:jc w:val="both"/>
        <w:rPr>
          <w:sz w:val="20"/>
          <w:szCs w:val="20"/>
        </w:rPr>
      </w:pPr>
      <w:r>
        <w:rPr>
          <w:sz w:val="20"/>
          <w:szCs w:val="20"/>
          <w:highlight w:val="yellow"/>
        </w:rPr>
        <w:t>33</w:t>
      </w:r>
      <w:r>
        <w:rPr>
          <w:sz w:val="20"/>
          <w:szCs w:val="20"/>
        </w:rPr>
        <w:t>.</w:t>
        <w:tab/>
      </w:r>
      <w:r>
        <w:rPr>
          <w:i/>
          <w:iCs/>
          <w:sz w:val="20"/>
          <w:szCs w:val="20"/>
        </w:rPr>
        <w:t xml:space="preserve">Engage instamment </w:t>
      </w:r>
      <w:r>
        <w:rPr>
          <w:sz w:val="20"/>
          <w:szCs w:val="20"/>
        </w:rPr>
        <w:t xml:space="preserve">les États et invite les autres acteurs ou institutions publics ou privés à contribuer au Fonds de contributions volontaires des Nations Unies pour les peuples autochtones, qui contribue largement à la promotion des droits des peuples autochtones partout dans le monde et au sein du système des Nations Unies ; </w:t>
      </w:r>
    </w:p>
    <w:p>
      <w:pPr>
        <w:pStyle w:val="SingleTxtG"/>
        <w:spacing w:before="0" w:after="288"/>
        <w:ind w:left="1134" w:right="1134" w:firstLine="567"/>
        <w:rPr>
          <w:lang w:val="fr-FR"/>
        </w:rPr>
      </w:pPr>
      <w:r>
        <w:rPr>
          <w:highlight w:val="yellow"/>
          <w:lang w:val="fr-FR"/>
        </w:rPr>
        <w:t>34</w:t>
      </w:r>
      <w:r>
        <w:rPr>
          <w:lang w:val="fr-FR"/>
        </w:rPr>
        <w:t>.</w:t>
        <w:tab/>
      </w:r>
      <w:r>
        <w:rPr>
          <w:i/>
          <w:iCs/>
          <w:lang w:val="fr-FR"/>
        </w:rPr>
        <w:t xml:space="preserve">Décide </w:t>
      </w:r>
      <w:r>
        <w:rPr>
          <w:lang w:val="fr-FR"/>
        </w:rPr>
        <w:t>de poursuivre l’examen de cette question à une session future, conformément à son programme de travail annuel.</w:t>
      </w:r>
    </w:p>
    <w:p>
      <w:pPr>
        <w:pStyle w:val="SingleTxtG"/>
        <w:ind w:left="1134" w:right="1134" w:firstLine="567"/>
        <w:rPr>
          <w:lang w:val="fr-FR"/>
        </w:rPr>
      </w:pPr>
      <w:r>
        <w:rPr>
          <w:lang w:val="fr-FR"/>
        </w:rPr>
      </w:r>
    </w:p>
    <w:p>
      <w:pPr>
        <w:pStyle w:val="SingleTxtG"/>
        <w:ind w:left="1134" w:right="1134" w:firstLine="567"/>
        <w:jc w:val="center"/>
        <w:rPr>
          <w:lang w:val="fr-FR"/>
        </w:rPr>
      </w:pPr>
      <w:r>
        <w:rPr>
          <w:lang w:val="fr-FR"/>
        </w:rPr>
        <w:t>-----------------------</w:t>
      </w:r>
    </w:p>
    <w:p>
      <w:pPr>
        <w:pStyle w:val="SingleTxtG"/>
        <w:spacing w:before="0" w:after="120"/>
        <w:ind w:left="1134" w:right="1134" w:firstLine="567"/>
        <w:jc w:val="center"/>
        <w:rPr>
          <w:u w:val="single"/>
          <w:lang w:val="fr-FR"/>
        </w:rPr>
      </w:pPr>
      <w:r>
        <w:rPr/>
      </w:r>
    </w:p>
    <w:sectPr>
      <w:headerReference w:type="even" r:id="rId3"/>
      <w:headerReference w:type="default" r:id="rId4"/>
      <w:footerReference w:type="even" r:id="rId5"/>
      <w:footerReference w:type="default" r:id="rId6"/>
      <w:footnotePr>
        <w:numFmt w:val="decimal"/>
      </w:footnotePr>
      <w:type w:val="nextPage"/>
      <w:pgSz w:w="11906" w:h="16838"/>
      <w:pgMar w:left="1134" w:right="1134" w:header="850" w:top="2207" w:footer="567" w:bottom="1134"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567"/>
        <w:tab w:val="right" w:pos="9638" w:leader="none"/>
      </w:tabs>
      <w:rPr>
        <w:sz w:val="18"/>
      </w:rPr>
    </w:pPr>
    <w:r>
      <w:rPr>
        <w:b/>
        <w:sz w:val="18"/>
      </w:rPr>
      <w:fldChar w:fldCharType="begin"/>
    </w:r>
    <w:r>
      <w:rPr>
        <w:sz w:val="18"/>
        <w:b/>
      </w:rPr>
      <w:instrText> PAGE </w:instrText>
    </w:r>
    <w:r>
      <w:rPr>
        <w:sz w:val="18"/>
        <w:b/>
      </w:rPr>
      <w:fldChar w:fldCharType="separate"/>
    </w:r>
    <w:r>
      <w:rPr>
        <w:sz w:val="18"/>
        <w:b/>
      </w:rPr>
      <w:t>6</w:t>
    </w:r>
    <w:r>
      <w:rPr>
        <w:sz w:val="18"/>
        <w:b/>
      </w:rPr>
      <w:fldChar w:fldCharType="end"/>
    </w:r>
    <w:r>
      <w:rPr>
        <w:sz w:val="18"/>
      </w:rPr>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567"/>
        <w:tab w:val="right" w:pos="9638" w:leader="none"/>
      </w:tabs>
      <w:rPr>
        <w:b/>
        <w:b/>
        <w:sz w:val="18"/>
      </w:rPr>
    </w:pPr>
    <w:r>
      <w:rPr/>
      <w:tab/>
    </w:r>
    <w:r>
      <w:rPr>
        <w:b/>
        <w:sz w:val="18"/>
      </w:rPr>
      <w:fldChar w:fldCharType="begin"/>
    </w:r>
    <w:r>
      <w:rPr>
        <w:sz w:val="18"/>
        <w:b/>
      </w:rPr>
      <w:instrText> PAGE </w:instrText>
    </w:r>
    <w:r>
      <w:rPr>
        <w:sz w:val="18"/>
        <w:b/>
      </w:rPr>
      <w:fldChar w:fldCharType="separate"/>
    </w:r>
    <w:r>
      <w:rPr>
        <w:sz w:val="18"/>
        <w:b/>
      </w:rPr>
      <w:t>7</w:t>
    </w:r>
    <w:r>
      <w:rPr>
        <w:sz w:val="18"/>
        <w:b/>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Footnote"/>
        <w:rPr>
          <w:lang w:val="fr-FR"/>
        </w:rPr>
      </w:pPr>
      <w:r>
        <w:rPr>
          <w:rStyle w:val="FootnoteCharacters"/>
        </w:rPr>
        <w:footnoteRef/>
      </w:r>
      <w:r>
        <w:rPr/>
        <w:tab/>
        <w:t xml:space="preserve"> </w:t>
      </w:r>
      <w:r>
        <w:rPr>
          <w:sz w:val="20"/>
        </w:rPr>
        <w:t>A/HRC/48/54</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pBdr>
        <w:top w:val="single" w:sz="4" w:space="6" w:color="000000"/>
        <w:left w:val="single" w:sz="4" w:space="9" w:color="000000"/>
        <w:bottom w:val="single" w:sz="4" w:space="6" w:color="000000"/>
        <w:right w:val="single" w:sz="4" w:space="9" w:color="000000"/>
      </w:pBdr>
      <w:ind w:left="0" w:right="0" w:hanging="0"/>
      <w:jc w:val="left"/>
      <w:rPr>
        <w:rFonts w:ascii="Times New Roman" w:hAnsi="Times New Roman"/>
        <w:b w:val="false"/>
        <w:i w:val="false"/>
        <w:caps w:val="false"/>
        <w:smallCaps w:val="false"/>
        <w:color w:val="FF0000"/>
        <w:spacing w:val="0"/>
        <w:sz w:val="24"/>
        <w:szCs w:val="24"/>
      </w:rPr>
    </w:pPr>
    <w:r>
      <w:rPr>
        <w:rFonts w:ascii="Times New Roman" w:hAnsi="Times New Roman"/>
        <w:b w:val="false"/>
        <w:i w:val="false"/>
        <w:caps w:val="false"/>
        <w:smallCaps w:val="false"/>
        <w:color w:val="FF0000"/>
        <w:spacing w:val="0"/>
        <w:sz w:val="24"/>
        <w:szCs w:val="24"/>
      </w:rPr>
      <w:t xml:space="preserve">Ce document a été traduit par le Centre de Documentation, de recherche et d'information des peuples autochtones </w:t>
    </w:r>
    <w:r>
      <w:rPr>
        <w:rFonts w:ascii="Times New Roman" w:hAnsi="Times New Roman"/>
        <w:b w:val="false"/>
        <w:i w:val="false"/>
        <w:caps w:val="false"/>
        <w:smallCaps w:val="false"/>
        <w:color w:val="FF0000"/>
        <w:spacing w:val="0"/>
        <w:sz w:val="24"/>
        <w:szCs w:val="24"/>
      </w:rPr>
      <w:t xml:space="preserve">(Docip) </w:t>
    </w:r>
    <w:r>
      <w:rPr>
        <w:rFonts w:ascii="Times New Roman" w:hAnsi="Times New Roman"/>
        <w:b w:val="false"/>
        <w:i w:val="false"/>
        <w:caps w:val="false"/>
        <w:smallCaps w:val="false"/>
        <w:color w:val="FF0000"/>
        <w:spacing w:val="0"/>
        <w:sz w:val="24"/>
        <w:szCs w:val="24"/>
      </w:rPr>
      <w:t>pour une finalité purement informative. En cas de différences entre les versions, la version originale rédigée en anglais prévaudra.</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pBdr>
        <w:top w:val="single" w:sz="4" w:space="6" w:color="000000"/>
        <w:left w:val="single" w:sz="4" w:space="9" w:color="000000"/>
        <w:bottom w:val="single" w:sz="4" w:space="6" w:color="000000"/>
        <w:right w:val="single" w:sz="4" w:space="9" w:color="000000"/>
      </w:pBdr>
      <w:ind w:left="0" w:right="0" w:hanging="0"/>
      <w:jc w:val="left"/>
      <w:rPr>
        <w:rFonts w:ascii="Times New Roman" w:hAnsi="Times New Roman"/>
        <w:b w:val="false"/>
        <w:i w:val="false"/>
        <w:caps w:val="false"/>
        <w:smallCaps w:val="false"/>
        <w:color w:val="FF0000"/>
        <w:spacing w:val="0"/>
        <w:sz w:val="24"/>
        <w:szCs w:val="24"/>
      </w:rPr>
    </w:pPr>
    <w:r>
      <w:rPr>
        <w:rFonts w:ascii="Times New Roman" w:hAnsi="Times New Roman"/>
        <w:b w:val="false"/>
        <w:i w:val="false"/>
        <w:caps w:val="false"/>
        <w:smallCaps w:val="false"/>
        <w:color w:val="FF0000"/>
        <w:spacing w:val="0"/>
        <w:sz w:val="24"/>
        <w:szCs w:val="24"/>
      </w:rPr>
      <w:t xml:space="preserve">Ce document a été traduit par le Centre de Documentation, de recherche et d'information des peuples autochtones </w:t>
    </w:r>
    <w:r>
      <w:rPr>
        <w:rFonts w:ascii="Times New Roman" w:hAnsi="Times New Roman"/>
        <w:b w:val="false"/>
        <w:i w:val="false"/>
        <w:caps w:val="false"/>
        <w:smallCaps w:val="false"/>
        <w:color w:val="FF0000"/>
        <w:spacing w:val="0"/>
        <w:sz w:val="24"/>
        <w:szCs w:val="24"/>
      </w:rPr>
      <w:t xml:space="preserve">(Docip) </w:t>
    </w:r>
    <w:r>
      <w:rPr>
        <w:rFonts w:ascii="Times New Roman" w:hAnsi="Times New Roman"/>
        <w:b w:val="false"/>
        <w:i w:val="false"/>
        <w:caps w:val="false"/>
        <w:smallCaps w:val="false"/>
        <w:color w:val="FF0000"/>
        <w:spacing w:val="0"/>
        <w:sz w:val="24"/>
        <w:szCs w:val="24"/>
      </w:rPr>
      <w:t>pour une finalité purement informative. En cas de différences entre les versions, la version originale rédigée en anglais prévaudra.</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pBdr>
        <w:top w:val="single" w:sz="4" w:space="6" w:color="000000"/>
        <w:left w:val="single" w:sz="4" w:space="9" w:color="000000"/>
        <w:bottom w:val="single" w:sz="4" w:space="6" w:color="000000"/>
        <w:right w:val="single" w:sz="4" w:space="9" w:color="000000"/>
      </w:pBdr>
      <w:ind w:left="0" w:right="0" w:hanging="0"/>
      <w:jc w:val="left"/>
      <w:rPr>
        <w:rFonts w:ascii="Times New Roman" w:hAnsi="Times New Roman"/>
        <w:b w:val="false"/>
        <w:i w:val="false"/>
        <w:caps w:val="false"/>
        <w:smallCaps w:val="false"/>
        <w:color w:val="FF0000"/>
        <w:spacing w:val="0"/>
        <w:sz w:val="24"/>
        <w:szCs w:val="24"/>
      </w:rPr>
    </w:pPr>
    <w:r>
      <w:rPr>
        <w:rFonts w:ascii="Times New Roman" w:hAnsi="Times New Roman"/>
        <w:b w:val="false"/>
        <w:i w:val="false"/>
        <w:caps w:val="false"/>
        <w:smallCaps w:val="false"/>
        <w:color w:val="FF0000"/>
        <w:spacing w:val="0"/>
        <w:sz w:val="24"/>
        <w:szCs w:val="24"/>
      </w:rPr>
      <w:t xml:space="preserve">Ce document a été traduit par le Centre de Documentation, de recherche et d'information des peuples autochtones </w:t>
    </w:r>
    <w:r>
      <w:rPr>
        <w:rFonts w:ascii="Times New Roman" w:hAnsi="Times New Roman"/>
        <w:b w:val="false"/>
        <w:i w:val="false"/>
        <w:caps w:val="false"/>
        <w:smallCaps w:val="false"/>
        <w:color w:val="FF0000"/>
        <w:spacing w:val="0"/>
        <w:sz w:val="24"/>
        <w:szCs w:val="24"/>
      </w:rPr>
      <w:t xml:space="preserve">(Docip) </w:t>
    </w:r>
    <w:r>
      <w:rPr>
        <w:rFonts w:ascii="Times New Roman" w:hAnsi="Times New Roman"/>
        <w:b w:val="false"/>
        <w:i w:val="false"/>
        <w:caps w:val="false"/>
        <w:smallCaps w:val="false"/>
        <w:color w:val="FF0000"/>
        <w:spacing w:val="0"/>
        <w:sz w:val="24"/>
        <w:szCs w:val="24"/>
      </w:rPr>
      <w:t>pour une finalité purement informative. En cas de différences entre les versions, la version originale rédigée en anglais prévaudra.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2268"/>
        </w:tabs>
        <w:ind w:left="2268" w:hanging="170"/>
      </w:pPr>
      <w:rPr>
        <w:rFonts w:ascii="Times New Roman" w:hAnsi="Times New Roman" w:cs="Times New Roman" w:hint="default"/>
        <w:sz w:val="20"/>
        <w:i w:val="false"/>
        <w:b w:val="fals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decimal"/>
      <w:lvlText w:val="%1."/>
      <w:lvlJc w:val="left"/>
      <w:pPr>
        <w:tabs>
          <w:tab w:val="num" w:pos="1701"/>
        </w:tabs>
        <w:ind w:left="1134" w:hanging="0"/>
      </w:pPr>
      <w:rPr>
        <w:sz w:val="20"/>
        <w:i w:val="false"/>
        <w:b w:val="false"/>
        <w:rFonts w:ascii="Times New 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567"/>
  <w:autoHyphenation w:val="true"/>
  <w:doNotHyphenateCaps/>
  <w:evenAndOddHeader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357"/>
  <w:themeFontLang w:val="fr-F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46924"/>
    <w:pPr>
      <w:widowControl/>
      <w:suppressAutoHyphens w:val="true"/>
      <w:bidi w:val="0"/>
      <w:spacing w:lineRule="atLeast" w:line="240" w:before="0" w:after="0"/>
      <w:jc w:val="left"/>
    </w:pPr>
    <w:rPr>
      <w:rFonts w:ascii="Times New Roman" w:hAnsi="Times New Roman" w:eastAsia="Times New Roman" w:cs="Times New Roman"/>
      <w:color w:val="auto"/>
      <w:kern w:val="0"/>
      <w:sz w:val="20"/>
      <w:szCs w:val="20"/>
      <w:lang w:eastAsia="en-US" w:val="en-GB" w:bidi="ar-SA"/>
    </w:rPr>
  </w:style>
  <w:style w:type="paragraph" w:styleId="Heading1">
    <w:name w:val="Heading 1"/>
    <w:basedOn w:val="SingleTxtG"/>
    <w:next w:val="SingleTxtG"/>
    <w:qFormat/>
    <w:rsid w:val="00cf0214"/>
    <w:pPr>
      <w:spacing w:lineRule="auto" w:line="240" w:before="240" w:after="0"/>
      <w:ind w:right="0" w:hanging="0"/>
      <w:jc w:val="left"/>
      <w:outlineLvl w:val="0"/>
    </w:pPr>
    <w:rPr/>
  </w:style>
  <w:style w:type="paragraph" w:styleId="Heading2">
    <w:name w:val="Heading 2"/>
    <w:basedOn w:val="Normal"/>
    <w:next w:val="Normal"/>
    <w:semiHidden/>
    <w:qFormat/>
    <w:rsid w:val="00cf0214"/>
    <w:pPr>
      <w:spacing w:lineRule="auto" w:line="240"/>
      <w:outlineLvl w:val="1"/>
    </w:pPr>
    <w:rPr/>
  </w:style>
  <w:style w:type="paragraph" w:styleId="Heading3">
    <w:name w:val="Heading 3"/>
    <w:basedOn w:val="Normal"/>
    <w:next w:val="Normal"/>
    <w:semiHidden/>
    <w:qFormat/>
    <w:rsid w:val="00cf0214"/>
    <w:pPr>
      <w:spacing w:lineRule="auto" w:line="240"/>
      <w:outlineLvl w:val="2"/>
    </w:pPr>
    <w:rPr/>
  </w:style>
  <w:style w:type="paragraph" w:styleId="Heading4">
    <w:name w:val="Heading 4"/>
    <w:basedOn w:val="Normal"/>
    <w:next w:val="Normal"/>
    <w:semiHidden/>
    <w:qFormat/>
    <w:rsid w:val="00cf0214"/>
    <w:pPr>
      <w:spacing w:lineRule="auto" w:line="240"/>
      <w:outlineLvl w:val="3"/>
    </w:pPr>
    <w:rPr/>
  </w:style>
  <w:style w:type="paragraph" w:styleId="Heading5">
    <w:name w:val="Heading 5"/>
    <w:basedOn w:val="Normal"/>
    <w:next w:val="Normal"/>
    <w:semiHidden/>
    <w:qFormat/>
    <w:rsid w:val="00cf0214"/>
    <w:pPr>
      <w:spacing w:lineRule="auto" w:line="240"/>
      <w:outlineLvl w:val="4"/>
    </w:pPr>
    <w:rPr/>
  </w:style>
  <w:style w:type="paragraph" w:styleId="Heading6">
    <w:name w:val="Heading 6"/>
    <w:basedOn w:val="Normal"/>
    <w:next w:val="Normal"/>
    <w:semiHidden/>
    <w:qFormat/>
    <w:rsid w:val="00cf0214"/>
    <w:pPr>
      <w:spacing w:lineRule="auto" w:line="240"/>
      <w:outlineLvl w:val="5"/>
    </w:pPr>
    <w:rPr/>
  </w:style>
  <w:style w:type="paragraph" w:styleId="Heading7">
    <w:name w:val="Heading 7"/>
    <w:basedOn w:val="Normal"/>
    <w:next w:val="Normal"/>
    <w:semiHidden/>
    <w:qFormat/>
    <w:rsid w:val="00cf0214"/>
    <w:pPr>
      <w:spacing w:lineRule="auto" w:line="240"/>
      <w:outlineLvl w:val="6"/>
    </w:pPr>
    <w:rPr/>
  </w:style>
  <w:style w:type="paragraph" w:styleId="Heading8">
    <w:name w:val="Heading 8"/>
    <w:basedOn w:val="Normal"/>
    <w:next w:val="Normal"/>
    <w:semiHidden/>
    <w:qFormat/>
    <w:rsid w:val="00cf0214"/>
    <w:pPr>
      <w:spacing w:lineRule="auto" w:line="240"/>
      <w:outlineLvl w:val="7"/>
    </w:pPr>
    <w:rPr/>
  </w:style>
  <w:style w:type="paragraph" w:styleId="Heading9">
    <w:name w:val="Heading 9"/>
    <w:basedOn w:val="Normal"/>
    <w:next w:val="Normal"/>
    <w:semiHidden/>
    <w:qFormat/>
    <w:rsid w:val="00cf0214"/>
    <w:pPr>
      <w:spacing w:lineRule="auto" w:line="240"/>
      <w:outlineLvl w:val="8"/>
    </w:pPr>
    <w:rPr/>
  </w:style>
  <w:style w:type="character" w:styleId="DefaultParagraphFont" w:default="1">
    <w:name w:val="Default Paragraph Font"/>
    <w:uiPriority w:val="1"/>
    <w:semiHidden/>
    <w:unhideWhenUsed/>
    <w:qFormat/>
    <w:rPr/>
  </w:style>
  <w:style w:type="character" w:styleId="FootnoteCharacters">
    <w:name w:val="Footnote Characters"/>
    <w:qFormat/>
    <w:rsid w:val="00cf0214"/>
    <w:rPr>
      <w:rFonts w:ascii="Times New Roman" w:hAnsi="Times New Roman"/>
      <w:sz w:val="18"/>
      <w:vertAlign w:val="superscript"/>
    </w:rPr>
  </w:style>
  <w:style w:type="character" w:styleId="FootnoteAnchor">
    <w:name w:val="Footnote Anchor"/>
    <w:rPr>
      <w:rFonts w:ascii="Times New Roman" w:hAnsi="Times New Roman"/>
      <w:sz w:val="18"/>
      <w:vertAlign w:val="superscript"/>
    </w:rPr>
  </w:style>
  <w:style w:type="character" w:styleId="EndnoteCharacters">
    <w:name w:val="Endnote Characters"/>
    <w:qFormat/>
    <w:rsid w:val="00cf0214"/>
    <w:rPr>
      <w:rFonts w:ascii="Times New Roman" w:hAnsi="Times New Roman"/>
      <w:sz w:val="18"/>
      <w:vertAlign w:val="superscript"/>
    </w:rPr>
  </w:style>
  <w:style w:type="character" w:styleId="EndnoteAnchor">
    <w:name w:val="Endnote Anchor"/>
    <w:rPr>
      <w:rFonts w:ascii="Times New Roman" w:hAnsi="Times New Roman"/>
      <w:sz w:val="18"/>
      <w:vertAlign w:val="superscript"/>
    </w:rPr>
  </w:style>
  <w:style w:type="character" w:styleId="InternetLink">
    <w:name w:val="Hyperlink"/>
    <w:semiHidden/>
    <w:rsid w:val="00cf0214"/>
    <w:rPr>
      <w:color w:val="auto"/>
      <w:u w:val="none"/>
    </w:rPr>
  </w:style>
  <w:style w:type="character" w:styleId="VisitedInternetLink">
    <w:name w:val="FollowedHyperlink"/>
    <w:semiHidden/>
    <w:rsid w:val="00cf0214"/>
    <w:rPr>
      <w:color w:val="auto"/>
      <w:u w:val="none"/>
    </w:rPr>
  </w:style>
  <w:style w:type="character" w:styleId="Pagenumber">
    <w:name w:val="page number"/>
    <w:qFormat/>
    <w:rsid w:val="00cf0214"/>
    <w:rPr>
      <w:rFonts w:ascii="Times New Roman" w:hAnsi="Times New Roman"/>
      <w:b/>
      <w:sz w:val="18"/>
    </w:rPr>
  </w:style>
  <w:style w:type="character" w:styleId="TextedebullesCar" w:customStyle="1">
    <w:name w:val="Texte de bulles Car"/>
    <w:link w:val="Textedebulles"/>
    <w:semiHidden/>
    <w:qFormat/>
    <w:rsid w:val="00946575"/>
    <w:rPr>
      <w:rFonts w:ascii="Tahoma" w:hAnsi="Tahoma" w:cs="Tahoma"/>
      <w:sz w:val="16"/>
      <w:szCs w:val="16"/>
      <w:lang w:val="en-GB" w:eastAsia="en-US"/>
    </w:rPr>
  </w:style>
  <w:style w:type="character" w:styleId="Annotationreference">
    <w:name w:val="annotation reference"/>
    <w:basedOn w:val="DefaultParagraphFont"/>
    <w:semiHidden/>
    <w:unhideWhenUsed/>
    <w:qFormat/>
    <w:rsid w:val="00cc0825"/>
    <w:rPr>
      <w:sz w:val="16"/>
      <w:szCs w:val="16"/>
    </w:rPr>
  </w:style>
  <w:style w:type="character" w:styleId="CommentaireCar" w:customStyle="1">
    <w:name w:val="Commentaire Car"/>
    <w:basedOn w:val="DefaultParagraphFont"/>
    <w:link w:val="Commentaire"/>
    <w:qFormat/>
    <w:rsid w:val="00cc0825"/>
    <w:rPr>
      <w:lang w:eastAsia="en-US"/>
    </w:rPr>
  </w:style>
  <w:style w:type="character" w:styleId="ObjetducommentaireCar" w:customStyle="1">
    <w:name w:val="Objet du commentaire Car"/>
    <w:basedOn w:val="CommentaireCar"/>
    <w:link w:val="Objetducommentaire"/>
    <w:semiHidden/>
    <w:qFormat/>
    <w:rsid w:val="00cc0825"/>
    <w:rPr>
      <w:b/>
      <w:bCs/>
      <w:lang w:eastAsia="en-US"/>
    </w:rPr>
  </w:style>
  <w:style w:type="character" w:styleId="SingleTxtGChar" w:customStyle="1">
    <w:name w:val="_ Single Txt_G Char"/>
    <w:link w:val="SingleTxtG"/>
    <w:qFormat/>
    <w:locked/>
    <w:rsid w:val="00aa3a5d"/>
    <w:rPr>
      <w:lang w:eastAsia="en-US"/>
    </w:rPr>
  </w:style>
  <w:style w:type="character" w:styleId="TextebrutCar" w:customStyle="1">
    <w:name w:val="Texte brut Car"/>
    <w:basedOn w:val="DefaultParagraphFont"/>
    <w:link w:val="Textebrut"/>
    <w:uiPriority w:val="99"/>
    <w:semiHidden/>
    <w:qFormat/>
    <w:rsid w:val="00783b92"/>
    <w:rPr>
      <w:rFonts w:ascii="Calibri" w:hAnsi="Calibri" w:eastAsia="Calibri" w:cs="Arial" w:cstheme="minorBidi" w:eastAsiaTheme="minorHAnsi"/>
      <w:sz w:val="22"/>
      <w:szCs w:val="21"/>
      <w:lang w:val="en-US" w:eastAsia="en-US"/>
    </w:rPr>
  </w:style>
  <w:style w:type="character" w:styleId="Strong">
    <w:name w:val="Strong"/>
    <w:basedOn w:val="DefaultParagraphFont"/>
    <w:uiPriority w:val="22"/>
    <w:qFormat/>
    <w:rsid w:val="00cb1be0"/>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SingleTxtG" w:customStyle="1">
    <w:name w:val="_ Single Txt_G"/>
    <w:basedOn w:val="Normal"/>
    <w:link w:val="SingleTxtGChar"/>
    <w:qFormat/>
    <w:rsid w:val="00cf0214"/>
    <w:pPr>
      <w:spacing w:before="0" w:after="120"/>
      <w:ind w:left="1134" w:right="1134" w:hanging="0"/>
      <w:jc w:val="both"/>
    </w:pPr>
    <w:rPr/>
  </w:style>
  <w:style w:type="paragraph" w:styleId="HMG" w:customStyle="1">
    <w:name w:val="_ H __M_G"/>
    <w:basedOn w:val="Normal"/>
    <w:next w:val="Normal"/>
    <w:qFormat/>
    <w:rsid w:val="00cf0214"/>
    <w:pPr>
      <w:keepNext w:val="true"/>
      <w:keepLines/>
      <w:tabs>
        <w:tab w:val="clear" w:pos="567"/>
        <w:tab w:val="right" w:pos="851" w:leader="none"/>
      </w:tabs>
      <w:spacing w:lineRule="exact" w:line="360" w:before="240" w:after="240"/>
      <w:ind w:left="1134" w:right="1134" w:hanging="1134"/>
    </w:pPr>
    <w:rPr>
      <w:b/>
      <w:sz w:val="34"/>
    </w:rPr>
  </w:style>
  <w:style w:type="paragraph" w:styleId="HChG" w:customStyle="1">
    <w:name w:val="_ H _Ch_G"/>
    <w:basedOn w:val="Normal"/>
    <w:next w:val="Normal"/>
    <w:qFormat/>
    <w:rsid w:val="00cf0214"/>
    <w:pPr>
      <w:keepNext w:val="true"/>
      <w:keepLines/>
      <w:tabs>
        <w:tab w:val="clear" w:pos="567"/>
        <w:tab w:val="right" w:pos="851" w:leader="none"/>
      </w:tabs>
      <w:spacing w:lineRule="exact" w:line="300" w:before="360" w:after="240"/>
      <w:ind w:left="1134" w:right="1134" w:hanging="1134"/>
    </w:pPr>
    <w:rPr>
      <w:b/>
      <w:sz w:val="28"/>
    </w:rPr>
  </w:style>
  <w:style w:type="paragraph" w:styleId="HeaderandFooter">
    <w:name w:val="Header and Footer"/>
    <w:basedOn w:val="Normal"/>
    <w:qFormat/>
    <w:pPr/>
    <w:rPr/>
  </w:style>
  <w:style w:type="paragraph" w:styleId="Header">
    <w:name w:val="Header"/>
    <w:basedOn w:val="Normal"/>
    <w:qFormat/>
    <w:rsid w:val="00cf0214"/>
    <w:pPr>
      <w:pBdr>
        <w:bottom w:val="single" w:sz="4" w:space="4" w:color="000000"/>
      </w:pBdr>
      <w:spacing w:lineRule="auto" w:line="240"/>
    </w:pPr>
    <w:rPr>
      <w:b/>
      <w:sz w:val="18"/>
    </w:rPr>
  </w:style>
  <w:style w:type="paragraph" w:styleId="SMG" w:customStyle="1">
    <w:name w:val="__S_M_G"/>
    <w:basedOn w:val="Normal"/>
    <w:next w:val="Normal"/>
    <w:qFormat/>
    <w:rsid w:val="00cf0214"/>
    <w:pPr>
      <w:keepNext w:val="true"/>
      <w:keepLines/>
      <w:spacing w:lineRule="exact" w:line="420" w:before="240" w:after="240"/>
      <w:ind w:left="1134" w:right="1134" w:hanging="0"/>
    </w:pPr>
    <w:rPr>
      <w:b/>
      <w:sz w:val="40"/>
    </w:rPr>
  </w:style>
  <w:style w:type="paragraph" w:styleId="SLG" w:customStyle="1">
    <w:name w:val="__S_L_G"/>
    <w:basedOn w:val="Normal"/>
    <w:next w:val="Normal"/>
    <w:qFormat/>
    <w:rsid w:val="00cf0214"/>
    <w:pPr>
      <w:keepNext w:val="true"/>
      <w:keepLines/>
      <w:spacing w:lineRule="exact" w:line="580" w:before="240" w:after="240"/>
      <w:ind w:left="1134" w:right="1134" w:hanging="0"/>
    </w:pPr>
    <w:rPr>
      <w:b/>
      <w:sz w:val="56"/>
    </w:rPr>
  </w:style>
  <w:style w:type="paragraph" w:styleId="SSG" w:customStyle="1">
    <w:name w:val="__S_S_G"/>
    <w:basedOn w:val="Normal"/>
    <w:next w:val="Normal"/>
    <w:qFormat/>
    <w:rsid w:val="00cf0214"/>
    <w:pPr>
      <w:keepNext w:val="true"/>
      <w:keepLines/>
      <w:spacing w:lineRule="exact" w:line="300" w:before="240" w:after="240"/>
      <w:ind w:left="1134" w:right="1134" w:hanging="0"/>
    </w:pPr>
    <w:rPr>
      <w:b/>
      <w:sz w:val="28"/>
    </w:rPr>
  </w:style>
  <w:style w:type="paragraph" w:styleId="Footnote">
    <w:name w:val="Footnote Text"/>
    <w:basedOn w:val="Normal"/>
    <w:qFormat/>
    <w:rsid w:val="00cf0214"/>
    <w:pPr>
      <w:tabs>
        <w:tab w:val="clear" w:pos="567"/>
        <w:tab w:val="right" w:pos="1021" w:leader="none"/>
      </w:tabs>
      <w:spacing w:lineRule="exact" w:line="220"/>
      <w:ind w:left="1134" w:right="1134" w:hanging="1134"/>
    </w:pPr>
    <w:rPr>
      <w:sz w:val="18"/>
    </w:rPr>
  </w:style>
  <w:style w:type="paragraph" w:styleId="Endnote">
    <w:name w:val="Endnote Text"/>
    <w:basedOn w:val="Footnote"/>
    <w:qFormat/>
    <w:rsid w:val="00cf0214"/>
    <w:pPr/>
    <w:rPr/>
  </w:style>
  <w:style w:type="paragraph" w:styleId="XLargeG" w:customStyle="1">
    <w:name w:val="__XLarge_G"/>
    <w:basedOn w:val="Normal"/>
    <w:next w:val="Normal"/>
    <w:qFormat/>
    <w:rsid w:val="00cf0214"/>
    <w:pPr>
      <w:keepNext w:val="true"/>
      <w:keepLines/>
      <w:spacing w:lineRule="exact" w:line="420" w:before="240" w:after="240"/>
      <w:ind w:left="1134" w:right="1134" w:hanging="0"/>
    </w:pPr>
    <w:rPr>
      <w:b/>
      <w:sz w:val="40"/>
    </w:rPr>
  </w:style>
  <w:style w:type="paragraph" w:styleId="Bullet1G" w:customStyle="1">
    <w:name w:val="_Bullet 1_G"/>
    <w:basedOn w:val="Normal"/>
    <w:qFormat/>
    <w:rsid w:val="00cf0214"/>
    <w:pPr>
      <w:numPr>
        <w:ilvl w:val="0"/>
        <w:numId w:val="1"/>
      </w:numPr>
      <w:spacing w:before="0" w:after="120"/>
      <w:ind w:right="1134" w:hanging="0"/>
      <w:jc w:val="both"/>
    </w:pPr>
    <w:rPr/>
  </w:style>
  <w:style w:type="paragraph" w:styleId="Footer">
    <w:name w:val="Footer"/>
    <w:basedOn w:val="Normal"/>
    <w:qFormat/>
    <w:rsid w:val="00cf0214"/>
    <w:pPr>
      <w:spacing w:lineRule="auto" w:line="240"/>
    </w:pPr>
    <w:rPr>
      <w:sz w:val="16"/>
    </w:rPr>
  </w:style>
  <w:style w:type="paragraph" w:styleId="Bullet2G" w:customStyle="1">
    <w:name w:val="_Bullet 2_G"/>
    <w:basedOn w:val="Normal"/>
    <w:qFormat/>
    <w:rsid w:val="00cf0214"/>
    <w:pPr>
      <w:numPr>
        <w:ilvl w:val="0"/>
        <w:numId w:val="2"/>
      </w:numPr>
      <w:spacing w:before="0" w:after="120"/>
      <w:ind w:right="1134" w:hanging="0"/>
      <w:jc w:val="both"/>
    </w:pPr>
    <w:rPr/>
  </w:style>
  <w:style w:type="paragraph" w:styleId="H1G" w:customStyle="1">
    <w:name w:val="_ H_1_G"/>
    <w:basedOn w:val="Normal"/>
    <w:next w:val="Normal"/>
    <w:qFormat/>
    <w:rsid w:val="00cf0214"/>
    <w:pPr>
      <w:keepNext w:val="true"/>
      <w:keepLines/>
      <w:tabs>
        <w:tab w:val="clear" w:pos="567"/>
        <w:tab w:val="right" w:pos="851" w:leader="none"/>
      </w:tabs>
      <w:spacing w:lineRule="exact" w:line="270" w:before="360" w:after="240"/>
      <w:ind w:left="1134" w:right="1134" w:hanging="1134"/>
    </w:pPr>
    <w:rPr>
      <w:b/>
      <w:sz w:val="24"/>
    </w:rPr>
  </w:style>
  <w:style w:type="paragraph" w:styleId="H23G" w:customStyle="1">
    <w:name w:val="_ H_2/3_G"/>
    <w:basedOn w:val="Normal"/>
    <w:next w:val="Normal"/>
    <w:qFormat/>
    <w:rsid w:val="00cf0214"/>
    <w:pPr>
      <w:keepNext w:val="true"/>
      <w:keepLines/>
      <w:tabs>
        <w:tab w:val="clear" w:pos="567"/>
        <w:tab w:val="right" w:pos="851" w:leader="none"/>
      </w:tabs>
      <w:spacing w:lineRule="exact" w:line="240" w:before="240" w:after="120"/>
      <w:ind w:left="1134" w:right="1134" w:hanging="1134"/>
    </w:pPr>
    <w:rPr>
      <w:b/>
    </w:rPr>
  </w:style>
  <w:style w:type="paragraph" w:styleId="H4G" w:customStyle="1">
    <w:name w:val="_ H_4_G"/>
    <w:basedOn w:val="Normal"/>
    <w:next w:val="Normal"/>
    <w:qFormat/>
    <w:rsid w:val="00cf0214"/>
    <w:pPr>
      <w:keepNext w:val="true"/>
      <w:keepLines/>
      <w:tabs>
        <w:tab w:val="clear" w:pos="567"/>
        <w:tab w:val="right" w:pos="851" w:leader="none"/>
      </w:tabs>
      <w:spacing w:lineRule="exact" w:line="240" w:before="240" w:after="120"/>
      <w:ind w:left="1134" w:right="1134" w:hanging="1134"/>
    </w:pPr>
    <w:rPr>
      <w:i/>
    </w:rPr>
  </w:style>
  <w:style w:type="paragraph" w:styleId="H56G" w:customStyle="1">
    <w:name w:val="_ H_5/6_G"/>
    <w:basedOn w:val="Normal"/>
    <w:next w:val="Normal"/>
    <w:qFormat/>
    <w:rsid w:val="00cf0214"/>
    <w:pPr>
      <w:keepNext w:val="true"/>
      <w:keepLines/>
      <w:tabs>
        <w:tab w:val="clear" w:pos="567"/>
        <w:tab w:val="right" w:pos="851" w:leader="none"/>
      </w:tabs>
      <w:spacing w:lineRule="exact" w:line="240" w:before="240" w:after="120"/>
      <w:ind w:left="1134" w:right="1134" w:hanging="1134"/>
    </w:pPr>
    <w:rPr/>
  </w:style>
  <w:style w:type="paragraph" w:styleId="BalloonText">
    <w:name w:val="Balloon Text"/>
    <w:basedOn w:val="Normal"/>
    <w:link w:val="TextedebullesCar"/>
    <w:semiHidden/>
    <w:qFormat/>
    <w:rsid w:val="00946575"/>
    <w:pPr>
      <w:spacing w:lineRule="auto" w:line="240"/>
    </w:pPr>
    <w:rPr>
      <w:rFonts w:ascii="Tahoma" w:hAnsi="Tahoma" w:cs="Tahoma"/>
      <w:sz w:val="16"/>
      <w:szCs w:val="16"/>
    </w:rPr>
  </w:style>
  <w:style w:type="paragraph" w:styleId="ParNoG" w:customStyle="1">
    <w:name w:val="_ParNo_G"/>
    <w:basedOn w:val="SingleTxtG"/>
    <w:qFormat/>
    <w:rsid w:val="005a0e16"/>
    <w:pPr>
      <w:numPr>
        <w:ilvl w:val="0"/>
        <w:numId w:val="3"/>
      </w:numPr>
      <w:overflowPunct w:val="true"/>
      <w:snapToGrid w:val="false"/>
    </w:pPr>
    <w:rPr/>
  </w:style>
  <w:style w:type="paragraph" w:styleId="Annotationtext">
    <w:name w:val="annotation text"/>
    <w:basedOn w:val="Normal"/>
    <w:link w:val="CommentaireCar"/>
    <w:unhideWhenUsed/>
    <w:qFormat/>
    <w:rsid w:val="00cc0825"/>
    <w:pPr/>
    <w:rPr/>
  </w:style>
  <w:style w:type="paragraph" w:styleId="Annotationsubject">
    <w:name w:val="annotation subject"/>
    <w:basedOn w:val="Annotationtext"/>
    <w:next w:val="Annotationtext"/>
    <w:link w:val="ObjetducommentaireCar"/>
    <w:semiHidden/>
    <w:unhideWhenUsed/>
    <w:qFormat/>
    <w:rsid w:val="00cc0825"/>
    <w:pPr/>
    <w:rPr>
      <w:b/>
      <w:bCs/>
    </w:rPr>
  </w:style>
  <w:style w:type="paragraph" w:styleId="Singletxtg1" w:customStyle="1">
    <w:name w:val="singletxtg"/>
    <w:basedOn w:val="Normal"/>
    <w:qFormat/>
    <w:rsid w:val="00676ccb"/>
    <w:pPr>
      <w:suppressAutoHyphens w:val="false"/>
      <w:spacing w:lineRule="auto" w:line="240" w:beforeAutospacing="1" w:afterAutospacing="1"/>
    </w:pPr>
    <w:rPr>
      <w:rFonts w:ascii="Calibri" w:hAnsi="Calibri" w:eastAsia="Yu Gothic" w:cs="Calibri"/>
      <w:sz w:val="22"/>
      <w:szCs w:val="22"/>
      <w:lang w:val="en-US" w:eastAsia="zh-CN"/>
    </w:rPr>
  </w:style>
  <w:style w:type="paragraph" w:styleId="PlainText">
    <w:name w:val="Plain Text"/>
    <w:basedOn w:val="Normal"/>
    <w:link w:val="TextebrutCar"/>
    <w:uiPriority w:val="99"/>
    <w:semiHidden/>
    <w:unhideWhenUsed/>
    <w:qFormat/>
    <w:rsid w:val="00783b92"/>
    <w:pPr>
      <w:suppressAutoHyphens w:val="false"/>
      <w:spacing w:lineRule="auto" w:line="240"/>
    </w:pPr>
    <w:rPr>
      <w:rFonts w:ascii="Calibri" w:hAnsi="Calibri" w:eastAsia="Calibri" w:cs="Arial" w:cstheme="minorBidi" w:eastAsiaTheme="minorHAnsi"/>
      <w:sz w:val="22"/>
      <w:szCs w:val="21"/>
      <w:lang w:val="en-US"/>
    </w:rPr>
  </w:style>
  <w:style w:type="paragraph" w:styleId="Default" w:customStyle="1">
    <w:name w:val="Default"/>
    <w:qFormat/>
    <w:rsid w:val="00c746b4"/>
    <w:pPr>
      <w:widowControl/>
      <w:bidi w:val="0"/>
      <w:spacing w:before="0" w:after="0"/>
      <w:jc w:val="left"/>
    </w:pPr>
    <w:rPr>
      <w:rFonts w:ascii="Times New Roman" w:hAnsi="Times New Roman" w:eastAsia="Times New Roman" w:cs="Times New Roman"/>
      <w:color w:val="000000"/>
      <w:kern w:val="0"/>
      <w:sz w:val="24"/>
      <w:szCs w:val="24"/>
      <w:lang w:val="fr-FR" w:eastAsia="ja-JP" w:bidi="ar-SA"/>
    </w:rPr>
  </w:style>
  <w:style w:type="paragraph" w:styleId="TableContents">
    <w:name w:val="Table Contents"/>
    <w:basedOn w:val="Normal"/>
    <w:qFormat/>
    <w:pPr>
      <w:widowControl w:val="false"/>
      <w:suppressLineNumbers/>
    </w:pPr>
    <w:rPr/>
  </w:style>
  <w:style w:type="paragraph" w:styleId="HeaderLeft">
    <w:name w:val="Header Left"/>
    <w:basedOn w:val="Header"/>
    <w:qFormat/>
    <w:pPr>
      <w:suppressLineNumbers/>
      <w:tabs>
        <w:tab w:val="clear" w:pos="567"/>
        <w:tab w:val="center" w:pos="4819" w:leader="none"/>
        <w:tab w:val="right" w:pos="9638"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semiHidden/>
    <w:rsid w:val="00cf0214"/>
    <w:pPr>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EE8C8-D109-4634-A99D-3ECE8C9C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Template>
  <TotalTime>10</TotalTime>
  <Application>LibreOffice/7.1.5.2$Linux_X86_64 LibreOffice_project/10$Build-2</Application>
  <AppVersion>15.0000</AppVersion>
  <Pages>7</Pages>
  <Words>3784</Words>
  <Characters>21265</Characters>
  <CharactersWithSpaces>25005</CharactersWithSpaces>
  <Paragraphs>63</Paragraphs>
  <Company>CSD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2021-09-14T09:25:00Z</dcterms:created>
  <dc:creator>Sumiko IHARA</dc:creator>
  <dc:description/>
  <dc:language>fr-CH</dc:language>
  <cp:lastModifiedBy>Pascal Angst</cp:lastModifiedBy>
  <cp:lastPrinted>2008-01-29T08:30:00Z</cp:lastPrinted>
  <dcterms:modified xsi:type="dcterms:W3CDTF">2021-09-14T10:46:53Z</dcterms:modified>
  <cp:revision>5</cp:revision>
  <dc:subject>2013215</dc:subject>
  <dc:title>A/HRC/RES/45/12</dc:title>
</cp:coreProperties>
</file>

<file path=docProps/custom.xml><?xml version="1.0" encoding="utf-8"?>
<Properties xmlns="http://schemas.openxmlformats.org/officeDocument/2006/custom-properties" xmlns:vt="http://schemas.openxmlformats.org/officeDocument/2006/docPropsVTypes"/>
</file>